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17" w:rsidRPr="004E0E37" w:rsidRDefault="007C42E6" w:rsidP="00E63828">
      <w:pPr>
        <w:spacing w:line="240" w:lineRule="auto"/>
        <w:rPr>
          <w:rFonts w:ascii="Arial Narrow" w:hAnsi="Arial Narrow"/>
          <w:b/>
        </w:rPr>
      </w:pPr>
      <w:r>
        <w:rPr>
          <w:rFonts w:ascii="Arial Narrow" w:hAnsi="Arial Narrow"/>
          <w:b/>
        </w:rPr>
        <w:t>‘R</w:t>
      </w:r>
      <w:r w:rsidR="003977BB" w:rsidRPr="004E0E37">
        <w:rPr>
          <w:rFonts w:ascii="Arial Narrow" w:hAnsi="Arial Narrow"/>
          <w:b/>
        </w:rPr>
        <w:t>ule of law’ indicators in the SDGs</w:t>
      </w:r>
    </w:p>
    <w:p w:rsidR="00AC7127" w:rsidRPr="00E63828" w:rsidRDefault="00AC7127" w:rsidP="00E63828">
      <w:pPr>
        <w:spacing w:line="240" w:lineRule="auto"/>
        <w:rPr>
          <w:rFonts w:ascii="Arial Narrow" w:hAnsi="Arial Narrow"/>
        </w:rPr>
      </w:pPr>
    </w:p>
    <w:p w:rsidR="00AC7127" w:rsidRPr="00E63828" w:rsidRDefault="00EA2811" w:rsidP="00E63828">
      <w:pPr>
        <w:spacing w:line="240" w:lineRule="auto"/>
        <w:jc w:val="both"/>
        <w:rPr>
          <w:rFonts w:ascii="Arial Narrow" w:hAnsi="Arial Narrow" w:cs="Times New Roman"/>
        </w:rPr>
      </w:pPr>
      <w:r w:rsidRPr="00E63828">
        <w:rPr>
          <w:rFonts w:ascii="Arial Narrow" w:hAnsi="Arial Narrow" w:cs="Times New Roman"/>
        </w:rPr>
        <w:t>I</w:t>
      </w:r>
      <w:r w:rsidR="00AC7127" w:rsidRPr="00E63828">
        <w:rPr>
          <w:rFonts w:ascii="Arial Narrow" w:hAnsi="Arial Narrow" w:cs="Times New Roman"/>
        </w:rPr>
        <w:t xml:space="preserve">ndicators for </w:t>
      </w:r>
      <w:r w:rsidR="001C1628" w:rsidRPr="00E63828">
        <w:rPr>
          <w:rFonts w:ascii="Arial Narrow" w:hAnsi="Arial Narrow" w:cs="Times New Roman"/>
        </w:rPr>
        <w:t xml:space="preserve">targets under </w:t>
      </w:r>
      <w:hyperlink r:id="rId7" w:history="1">
        <w:r w:rsidR="0044016C" w:rsidRPr="00E63828">
          <w:rPr>
            <w:rStyle w:val="Hyperlink"/>
            <w:rFonts w:ascii="Arial Narrow" w:hAnsi="Arial Narrow" w:cs="Times New Roman"/>
          </w:rPr>
          <w:t>Sustainable Development Goal 16</w:t>
        </w:r>
      </w:hyperlink>
      <w:r w:rsidR="001C1628" w:rsidRPr="00E63828">
        <w:rPr>
          <w:rFonts w:ascii="Arial Narrow" w:hAnsi="Arial Narrow" w:cs="Times New Roman"/>
        </w:rPr>
        <w:t xml:space="preserve"> </w:t>
      </w:r>
      <w:r w:rsidR="005549B5" w:rsidRPr="00E63828">
        <w:rPr>
          <w:rFonts w:ascii="Arial Narrow" w:hAnsi="Arial Narrow" w:cs="Times New Roman"/>
        </w:rPr>
        <w:t xml:space="preserve">will be </w:t>
      </w:r>
      <w:hyperlink r:id="rId8" w:history="1">
        <w:r w:rsidR="005549B5" w:rsidRPr="00E63828">
          <w:rPr>
            <w:rStyle w:val="Hyperlink"/>
            <w:rFonts w:ascii="Arial Narrow" w:hAnsi="Arial Narrow" w:cs="Times New Roman"/>
          </w:rPr>
          <w:t xml:space="preserve">finalised </w:t>
        </w:r>
        <w:r w:rsidR="0044016C" w:rsidRPr="00E63828">
          <w:rPr>
            <w:rStyle w:val="Hyperlink"/>
            <w:rFonts w:ascii="Arial Narrow" w:hAnsi="Arial Narrow" w:cs="Times New Roman"/>
          </w:rPr>
          <w:t>later this month</w:t>
        </w:r>
      </w:hyperlink>
      <w:r w:rsidRPr="00E63828">
        <w:rPr>
          <w:rFonts w:ascii="Arial Narrow" w:hAnsi="Arial Narrow" w:cs="Times New Roman"/>
        </w:rPr>
        <w:t xml:space="preserve"> following the</w:t>
      </w:r>
      <w:r w:rsidR="0044016C" w:rsidRPr="00E63828">
        <w:rPr>
          <w:rFonts w:ascii="Arial Narrow" w:hAnsi="Arial Narrow" w:cs="Times New Roman"/>
        </w:rPr>
        <w:t xml:space="preserve"> </w:t>
      </w:r>
      <w:hyperlink r:id="rId9" w:history="1">
        <w:r w:rsidR="0044016C" w:rsidRPr="00E63828">
          <w:rPr>
            <w:rStyle w:val="Hyperlink"/>
            <w:rFonts w:ascii="Arial Narrow" w:hAnsi="Arial Narrow" w:cs="Times New Roman"/>
          </w:rPr>
          <w:t>informal briefing</w:t>
        </w:r>
      </w:hyperlink>
      <w:r w:rsidR="0044016C" w:rsidRPr="00E63828">
        <w:rPr>
          <w:rFonts w:ascii="Arial Narrow" w:hAnsi="Arial Narrow" w:cs="Times New Roman"/>
        </w:rPr>
        <w:t xml:space="preserve"> in New York at the end of January. </w:t>
      </w:r>
      <w:r w:rsidRPr="00E63828">
        <w:rPr>
          <w:rFonts w:ascii="Arial Narrow" w:hAnsi="Arial Narrow" w:cs="Times New Roman"/>
        </w:rPr>
        <w:t xml:space="preserve"> </w:t>
      </w:r>
      <w:r w:rsidR="004E0E37">
        <w:rPr>
          <w:rFonts w:ascii="Arial Narrow" w:hAnsi="Arial Narrow" w:cs="Times New Roman"/>
        </w:rPr>
        <w:t xml:space="preserve">It is worth taking a moment to consider what these indicators mean for the broader concept of the ‘rule of law’, its definition and promotion. </w:t>
      </w:r>
    </w:p>
    <w:p w:rsidR="00AC7127" w:rsidRPr="00E63828" w:rsidRDefault="004E0E37" w:rsidP="00E63828">
      <w:pPr>
        <w:spacing w:line="240" w:lineRule="auto"/>
        <w:jc w:val="both"/>
        <w:rPr>
          <w:rStyle w:val="apple-converted-space"/>
          <w:rFonts w:ascii="Arial Narrow" w:hAnsi="Arial Narrow" w:cs="Times New Roman"/>
        </w:rPr>
      </w:pPr>
      <w:r>
        <w:rPr>
          <w:rFonts w:ascii="Arial Narrow" w:hAnsi="Arial Narrow" w:cs="Times New Roman"/>
        </w:rPr>
        <w:t>The SDGs contain t</w:t>
      </w:r>
      <w:r w:rsidR="00AC7127" w:rsidRPr="00E63828">
        <w:rPr>
          <w:rFonts w:ascii="Arial Narrow" w:hAnsi="Arial Narrow" w:cs="Times New Roman"/>
        </w:rPr>
        <w:t>arge</w:t>
      </w:r>
      <w:r>
        <w:rPr>
          <w:rFonts w:ascii="Arial Narrow" w:hAnsi="Arial Narrow" w:cs="Times New Roman"/>
        </w:rPr>
        <w:t>ts which are to be measured by i</w:t>
      </w:r>
      <w:r w:rsidR="00AC7127" w:rsidRPr="00E63828">
        <w:rPr>
          <w:rFonts w:ascii="Arial Narrow" w:hAnsi="Arial Narrow" w:cs="Times New Roman"/>
        </w:rPr>
        <w:t xml:space="preserve">ndicators. Goal 16 calls for government, the private sector and civil society to ‘promote peaceful and inclusive societies for sustainable development, provide access to justice for all and build effective, accountable and inclusive institutions at all levels’. Within this goal there are 10 targets, including 16.3 which aims to </w:t>
      </w:r>
      <w:r w:rsidR="00AC7127" w:rsidRPr="00E63828">
        <w:rPr>
          <w:rFonts w:ascii="Arial Narrow" w:hAnsi="Arial Narrow" w:cs="Times New Roman"/>
          <w:shd w:val="clear" w:color="auto" w:fill="FFFFFF"/>
        </w:rPr>
        <w:t>‘promote the rule of law at the national and international levels and ensure equal access to justice for all</w:t>
      </w:r>
      <w:r w:rsidR="00AC7127" w:rsidRPr="00E63828">
        <w:rPr>
          <w:rStyle w:val="apple-converted-space"/>
          <w:rFonts w:ascii="Arial Narrow" w:hAnsi="Arial Narrow" w:cs="Times New Roman"/>
          <w:shd w:val="clear" w:color="auto" w:fill="FFFFFF"/>
        </w:rPr>
        <w:t>’.</w:t>
      </w:r>
    </w:p>
    <w:p w:rsidR="00AC7127" w:rsidRPr="00E63828" w:rsidRDefault="004E0E37" w:rsidP="00E63828">
      <w:pPr>
        <w:spacing w:after="0" w:line="240" w:lineRule="auto"/>
        <w:jc w:val="both"/>
        <w:rPr>
          <w:rFonts w:ascii="Arial Narrow" w:hAnsi="Arial Narrow" w:cs="Times New Roman"/>
        </w:rPr>
      </w:pPr>
      <w:r>
        <w:rPr>
          <w:rFonts w:ascii="Arial Narrow" w:hAnsi="Arial Narrow" w:cs="Times New Roman"/>
        </w:rPr>
        <w:t>So far so good. But w</w:t>
      </w:r>
      <w:r w:rsidR="001C1628" w:rsidRPr="00E63828">
        <w:rPr>
          <w:rFonts w:ascii="Arial Narrow" w:hAnsi="Arial Narrow" w:cs="Times New Roman"/>
        </w:rPr>
        <w:t xml:space="preserve">hich </w:t>
      </w:r>
      <w:r w:rsidR="000F5529" w:rsidRPr="00E63828">
        <w:rPr>
          <w:rFonts w:ascii="Arial Narrow" w:hAnsi="Arial Narrow" w:cs="Times New Roman"/>
        </w:rPr>
        <w:t>‘</w:t>
      </w:r>
      <w:r w:rsidR="001C1628" w:rsidRPr="00E63828">
        <w:rPr>
          <w:rFonts w:ascii="Arial Narrow" w:hAnsi="Arial Narrow" w:cs="Times New Roman"/>
        </w:rPr>
        <w:t>rule of law</w:t>
      </w:r>
      <w:r w:rsidR="000F5529" w:rsidRPr="00E63828">
        <w:rPr>
          <w:rFonts w:ascii="Arial Narrow" w:hAnsi="Arial Narrow" w:cs="Times New Roman"/>
        </w:rPr>
        <w:t>’</w:t>
      </w:r>
      <w:r>
        <w:rPr>
          <w:rFonts w:ascii="Arial Narrow" w:hAnsi="Arial Narrow" w:cs="Times New Roman"/>
        </w:rPr>
        <w:t xml:space="preserve"> are we talking about</w:t>
      </w:r>
      <w:r w:rsidR="001C1628" w:rsidRPr="00E63828">
        <w:rPr>
          <w:rFonts w:ascii="Arial Narrow" w:hAnsi="Arial Narrow" w:cs="Times New Roman"/>
        </w:rPr>
        <w:t xml:space="preserve">? </w:t>
      </w:r>
      <w:r w:rsidR="00AC7127" w:rsidRPr="00E63828">
        <w:rPr>
          <w:rFonts w:ascii="Arial Narrow" w:hAnsi="Arial Narrow" w:cs="Times New Roman"/>
        </w:rPr>
        <w:t xml:space="preserve">Indicators </w:t>
      </w:r>
      <w:r w:rsidR="000F5529" w:rsidRPr="00E63828">
        <w:rPr>
          <w:rFonts w:ascii="Arial Narrow" w:hAnsi="Arial Narrow" w:cs="Times New Roman"/>
        </w:rPr>
        <w:t xml:space="preserve">will </w:t>
      </w:r>
      <w:r w:rsidR="00AC7127" w:rsidRPr="00E63828">
        <w:rPr>
          <w:rFonts w:ascii="Arial Narrow" w:hAnsi="Arial Narrow" w:cs="Times New Roman"/>
        </w:rPr>
        <w:t xml:space="preserve">set the bar for evaluation and comparison and they </w:t>
      </w:r>
      <w:r w:rsidR="000F5529" w:rsidRPr="00E63828">
        <w:rPr>
          <w:rFonts w:ascii="Arial Narrow" w:hAnsi="Arial Narrow" w:cs="Times New Roman"/>
        </w:rPr>
        <w:t xml:space="preserve">will inevitably </w:t>
      </w:r>
      <w:r w:rsidR="00AC7127" w:rsidRPr="00E63828">
        <w:rPr>
          <w:rFonts w:ascii="Arial Narrow" w:hAnsi="Arial Narrow" w:cs="Times New Roman"/>
        </w:rPr>
        <w:t xml:space="preserve">frame the direction of projects and </w:t>
      </w:r>
      <w:hyperlink r:id="rId10" w:history="1">
        <w:r w:rsidR="00AC7127" w:rsidRPr="00E63828">
          <w:rPr>
            <w:rStyle w:val="Hyperlink"/>
            <w:rFonts w:ascii="Arial Narrow" w:hAnsi="Arial Narrow" w:cs="Times New Roman"/>
          </w:rPr>
          <w:t>funding</w:t>
        </w:r>
      </w:hyperlink>
      <w:r w:rsidR="00AC7127" w:rsidRPr="00E63828">
        <w:rPr>
          <w:rFonts w:ascii="Arial Narrow" w:hAnsi="Arial Narrow" w:cs="Times New Roman"/>
        </w:rPr>
        <w:t xml:space="preserve">. As always, </w:t>
      </w:r>
      <w:r w:rsidR="000F5529" w:rsidRPr="00E63828">
        <w:rPr>
          <w:rFonts w:ascii="Arial Narrow" w:hAnsi="Arial Narrow" w:cs="Times New Roman"/>
        </w:rPr>
        <w:t xml:space="preserve">there is a danger that the </w:t>
      </w:r>
      <w:r>
        <w:rPr>
          <w:rFonts w:ascii="Arial Narrow" w:hAnsi="Arial Narrow" w:cs="Times New Roman"/>
        </w:rPr>
        <w:t xml:space="preserve">measurement </w:t>
      </w:r>
      <w:r w:rsidR="000F5529" w:rsidRPr="00E63828">
        <w:rPr>
          <w:rFonts w:ascii="Arial Narrow" w:hAnsi="Arial Narrow" w:cs="Times New Roman"/>
        </w:rPr>
        <w:t>indicators will overshadow the goal</w:t>
      </w:r>
      <w:r w:rsidR="00AC7127" w:rsidRPr="00E63828">
        <w:rPr>
          <w:rFonts w:ascii="Arial Narrow" w:hAnsi="Arial Narrow" w:cs="Times New Roman"/>
        </w:rPr>
        <w:t xml:space="preserve">. Two proposed indicators are currently assigned to Target 16.3 for final approval </w:t>
      </w:r>
      <w:r w:rsidR="001C1628" w:rsidRPr="00E63828">
        <w:rPr>
          <w:rFonts w:ascii="Arial Narrow" w:hAnsi="Arial Narrow" w:cs="Times New Roman"/>
        </w:rPr>
        <w:t>this month:</w:t>
      </w:r>
    </w:p>
    <w:p w:rsidR="00AC7127" w:rsidRPr="00E63828" w:rsidRDefault="00AC7127" w:rsidP="00E63828">
      <w:pPr>
        <w:spacing w:after="0" w:line="240" w:lineRule="auto"/>
        <w:jc w:val="both"/>
        <w:rPr>
          <w:rFonts w:ascii="Arial Narrow" w:eastAsia="Times New Roman" w:hAnsi="Arial Narrow" w:cs="Times New Roman"/>
          <w:lang w:eastAsia="en-ZA"/>
        </w:rPr>
      </w:pPr>
    </w:p>
    <w:p w:rsidR="00AC7127" w:rsidRPr="00E63828" w:rsidRDefault="000F5529" w:rsidP="00E63828">
      <w:pPr>
        <w:spacing w:after="0" w:line="240" w:lineRule="auto"/>
        <w:ind w:left="397"/>
        <w:jc w:val="both"/>
        <w:rPr>
          <w:rFonts w:ascii="Arial Narrow" w:hAnsi="Arial Narrow" w:cs="Times New Roman"/>
        </w:rPr>
      </w:pPr>
      <w:hyperlink r:id="rId11" w:history="1">
        <w:r w:rsidR="00AC7127" w:rsidRPr="00E63828">
          <w:rPr>
            <w:rStyle w:val="Hyperlink"/>
            <w:rFonts w:ascii="Arial Narrow" w:hAnsi="Arial Narrow" w:cs="Times New Roman"/>
            <w:b/>
          </w:rPr>
          <w:t xml:space="preserve">Proposed </w:t>
        </w:r>
        <w:r w:rsidR="00AC7127" w:rsidRPr="00E63828">
          <w:rPr>
            <w:rStyle w:val="Hyperlink"/>
            <w:rFonts w:ascii="Arial Narrow" w:hAnsi="Arial Narrow" w:cs="Times New Roman"/>
            <w:b/>
          </w:rPr>
          <w:t>I</w:t>
        </w:r>
        <w:r w:rsidR="00AC7127" w:rsidRPr="00E63828">
          <w:rPr>
            <w:rStyle w:val="Hyperlink"/>
            <w:rFonts w:ascii="Arial Narrow" w:hAnsi="Arial Narrow" w:cs="Times New Roman"/>
            <w:b/>
          </w:rPr>
          <w:t>ndicator 1</w:t>
        </w:r>
      </w:hyperlink>
      <w:r w:rsidR="00AC7127" w:rsidRPr="00E63828">
        <w:rPr>
          <w:rFonts w:ascii="Arial Narrow" w:hAnsi="Arial Narrow" w:cs="Times New Roman"/>
        </w:rPr>
        <w:t xml:space="preserve">: </w:t>
      </w:r>
      <w:proofErr w:type="spellStart"/>
      <w:r w:rsidR="00AC7127" w:rsidRPr="00E63828">
        <w:rPr>
          <w:rFonts w:ascii="Arial Narrow" w:hAnsi="Arial Narrow" w:cs="Times New Roman"/>
        </w:rPr>
        <w:t>Unsentenced</w:t>
      </w:r>
      <w:proofErr w:type="spellEnd"/>
      <w:r w:rsidR="00AC7127" w:rsidRPr="00E63828">
        <w:rPr>
          <w:rFonts w:ascii="Arial Narrow" w:hAnsi="Arial Narrow" w:cs="Times New Roman"/>
        </w:rPr>
        <w:t xml:space="preserve"> detainees as percentage of overall prison population.</w:t>
      </w:r>
    </w:p>
    <w:p w:rsidR="00AC7127" w:rsidRPr="00E63828" w:rsidRDefault="00EA2811" w:rsidP="00E63828">
      <w:pPr>
        <w:spacing w:after="0" w:line="240" w:lineRule="auto"/>
        <w:ind w:left="397"/>
        <w:jc w:val="both"/>
        <w:rPr>
          <w:rFonts w:ascii="Arial Narrow" w:hAnsi="Arial Narrow" w:cs="Times New Roman"/>
        </w:rPr>
      </w:pPr>
      <w:hyperlink r:id="rId12" w:history="1">
        <w:r w:rsidR="00AC7127" w:rsidRPr="00E63828">
          <w:rPr>
            <w:rStyle w:val="Hyperlink"/>
            <w:rFonts w:ascii="Arial Narrow" w:hAnsi="Arial Narrow" w:cs="Times New Roman"/>
            <w:b/>
          </w:rPr>
          <w:t>Proposed Indicator 2</w:t>
        </w:r>
      </w:hyperlink>
      <w:r w:rsidR="00AC7127" w:rsidRPr="00E63828">
        <w:rPr>
          <w:rFonts w:ascii="Arial Narrow" w:hAnsi="Arial Narrow" w:cs="Times New Roman"/>
        </w:rPr>
        <w:t>: Percentage of victims of violence in the previous 12 months who reported their victimization to competent authorities or other officially recognized conflict resolution mechanisms (also called crime reporting rate)</w:t>
      </w:r>
    </w:p>
    <w:p w:rsidR="00AC7127" w:rsidRPr="00E63828" w:rsidRDefault="00AC7127" w:rsidP="00E63828">
      <w:pPr>
        <w:spacing w:after="0" w:line="240" w:lineRule="auto"/>
        <w:jc w:val="both"/>
        <w:rPr>
          <w:rFonts w:ascii="Arial Narrow" w:hAnsi="Arial Narrow" w:cs="Times New Roman"/>
        </w:rPr>
      </w:pPr>
    </w:p>
    <w:p w:rsidR="00430CB0" w:rsidRDefault="00EA2811" w:rsidP="00E63828">
      <w:pPr>
        <w:spacing w:after="0" w:line="240" w:lineRule="auto"/>
        <w:rPr>
          <w:rFonts w:ascii="Arial Narrow" w:hAnsi="Arial Narrow" w:cs="Times New Roman"/>
        </w:rPr>
      </w:pPr>
      <w:r w:rsidRPr="00E63828">
        <w:rPr>
          <w:rFonts w:ascii="Arial Narrow" w:hAnsi="Arial Narrow" w:cs="Times New Roman"/>
        </w:rPr>
        <w:t xml:space="preserve">Proposed indicator 1 is currently ‘green’ indicating tentative agreement. Proposed indicator 2 is ‘grey’ and may be modified before the framework is finalised although this appears unlikely. </w:t>
      </w:r>
      <w:r w:rsidR="00AC7127" w:rsidRPr="00E63828">
        <w:rPr>
          <w:rFonts w:ascii="Arial Narrow" w:hAnsi="Arial Narrow" w:cs="Times New Roman"/>
        </w:rPr>
        <w:t xml:space="preserve">These indicators reflect an interpretation and prioritisation of elements within the rule of law </w:t>
      </w:r>
      <w:r w:rsidR="007C42E6">
        <w:rPr>
          <w:rFonts w:ascii="Arial Narrow" w:hAnsi="Arial Narrow" w:cs="Times New Roman"/>
        </w:rPr>
        <w:t xml:space="preserve">and access to justice </w:t>
      </w:r>
      <w:r w:rsidR="00AC7127" w:rsidRPr="00E63828">
        <w:rPr>
          <w:rFonts w:ascii="Arial Narrow" w:hAnsi="Arial Narrow" w:cs="Times New Roman"/>
        </w:rPr>
        <w:t>concep</w:t>
      </w:r>
      <w:r w:rsidR="004E0E37">
        <w:rPr>
          <w:rFonts w:ascii="Arial Narrow" w:hAnsi="Arial Narrow" w:cs="Times New Roman"/>
        </w:rPr>
        <w:t>t</w:t>
      </w:r>
      <w:r w:rsidR="007C42E6">
        <w:rPr>
          <w:rFonts w:ascii="Arial Narrow" w:hAnsi="Arial Narrow" w:cs="Times New Roman"/>
        </w:rPr>
        <w:t>s</w:t>
      </w:r>
      <w:r w:rsidR="004E0E37">
        <w:rPr>
          <w:rFonts w:ascii="Arial Narrow" w:hAnsi="Arial Narrow" w:cs="Times New Roman"/>
        </w:rPr>
        <w:t xml:space="preserve"> that evolved</w:t>
      </w:r>
      <w:r w:rsidR="00FA1782">
        <w:rPr>
          <w:rFonts w:ascii="Arial Narrow" w:hAnsi="Arial Narrow" w:cs="Times New Roman"/>
        </w:rPr>
        <w:t xml:space="preserve"> (or perhaps, devolved</w:t>
      </w:r>
      <w:r w:rsidR="007C42E6">
        <w:rPr>
          <w:rFonts w:ascii="Arial Narrow" w:hAnsi="Arial Narrow" w:cs="Times New Roman"/>
        </w:rPr>
        <w:t xml:space="preserve">) </w:t>
      </w:r>
      <w:r w:rsidR="004E0E37">
        <w:rPr>
          <w:rFonts w:ascii="Arial Narrow" w:hAnsi="Arial Narrow" w:cs="Times New Roman"/>
        </w:rPr>
        <w:t xml:space="preserve"> over many months of consultation and negotiation</w:t>
      </w:r>
      <w:r w:rsidR="00430CB0">
        <w:rPr>
          <w:rFonts w:ascii="Arial Narrow" w:hAnsi="Arial Narrow" w:cs="Times New Roman"/>
        </w:rPr>
        <w:t xml:space="preserve"> which in turn </w:t>
      </w:r>
      <w:r w:rsidR="00FA1782">
        <w:rPr>
          <w:rFonts w:ascii="Arial Narrow" w:hAnsi="Arial Narrow" w:cs="Times New Roman"/>
        </w:rPr>
        <w:t>was</w:t>
      </w:r>
      <w:r w:rsidR="00430CB0">
        <w:rPr>
          <w:rFonts w:ascii="Arial Narrow" w:hAnsi="Arial Narrow" w:cs="Times New Roman"/>
        </w:rPr>
        <w:t xml:space="preserve"> based on work undertaken by the </w:t>
      </w:r>
      <w:hyperlink r:id="rId13" w:history="1">
        <w:r w:rsidR="00430CB0" w:rsidRPr="00430CB0">
          <w:rPr>
            <w:rStyle w:val="Hyperlink"/>
            <w:rFonts w:ascii="Arial Narrow" w:hAnsi="Arial Narrow" w:cs="Times New Roman"/>
          </w:rPr>
          <w:t>Virtual Network</w:t>
        </w:r>
        <w:r w:rsidR="004E0E37" w:rsidRPr="00430CB0">
          <w:rPr>
            <w:rStyle w:val="Hyperlink"/>
            <w:rFonts w:ascii="Arial Narrow" w:hAnsi="Arial Narrow" w:cs="Times New Roman"/>
          </w:rPr>
          <w:t>.</w:t>
        </w:r>
      </w:hyperlink>
      <w:r w:rsidR="00AC7127" w:rsidRPr="00E63828">
        <w:rPr>
          <w:rFonts w:ascii="Arial Narrow" w:hAnsi="Arial Narrow" w:cs="Times New Roman"/>
        </w:rPr>
        <w:t xml:space="preserve"> </w:t>
      </w:r>
    </w:p>
    <w:p w:rsidR="00430CB0" w:rsidRDefault="00430CB0" w:rsidP="00E63828">
      <w:pPr>
        <w:spacing w:after="0" w:line="240" w:lineRule="auto"/>
        <w:rPr>
          <w:rFonts w:ascii="Arial Narrow" w:hAnsi="Arial Narrow" w:cs="Times New Roman"/>
        </w:rPr>
      </w:pPr>
    </w:p>
    <w:p w:rsidR="00AC7127" w:rsidRPr="00E63828" w:rsidRDefault="00FA1782" w:rsidP="00E63828">
      <w:pPr>
        <w:spacing w:after="0" w:line="240" w:lineRule="auto"/>
        <w:rPr>
          <w:rFonts w:ascii="Arial Narrow" w:hAnsi="Arial Narrow" w:cs="Times New Roman"/>
        </w:rPr>
      </w:pPr>
      <w:r>
        <w:rPr>
          <w:rFonts w:ascii="Arial Narrow" w:hAnsi="Arial Narrow" w:cs="Times New Roman"/>
        </w:rPr>
        <w:t>V</w:t>
      </w:r>
      <w:r w:rsidR="00430CB0">
        <w:rPr>
          <w:rFonts w:ascii="Arial Narrow" w:hAnsi="Arial Narrow" w:cs="Times New Roman"/>
        </w:rPr>
        <w:t xml:space="preserve">arious connotations of the ‘rule of law’ carry </w:t>
      </w:r>
      <w:r w:rsidR="004E0E37" w:rsidRPr="00E63828">
        <w:rPr>
          <w:rFonts w:ascii="Arial Narrow" w:hAnsi="Arial Narrow" w:cs="Times New Roman"/>
        </w:rPr>
        <w:t xml:space="preserve">the promise of political emancipation as well as the risk of facilitating a regulatory framework that entrenches already powerful actors. </w:t>
      </w:r>
      <w:r w:rsidR="004E0E37">
        <w:rPr>
          <w:rFonts w:ascii="Arial Narrow" w:hAnsi="Arial Narrow" w:cs="Times New Roman"/>
        </w:rPr>
        <w:t>It</w:t>
      </w:r>
      <w:r w:rsidR="00EA2811" w:rsidRPr="00E63828">
        <w:rPr>
          <w:rFonts w:ascii="Arial Narrow" w:hAnsi="Arial Narrow" w:cs="Times New Roman"/>
        </w:rPr>
        <w:t xml:space="preserve"> </w:t>
      </w:r>
      <w:r w:rsidR="004E0E37">
        <w:rPr>
          <w:rFonts w:ascii="Arial Narrow" w:hAnsi="Arial Narrow" w:cs="Times New Roman"/>
        </w:rPr>
        <w:t>is a legal and philosophical battleground</w:t>
      </w:r>
      <w:r w:rsidR="00EA2811" w:rsidRPr="00E63828">
        <w:rPr>
          <w:rFonts w:ascii="Arial Narrow" w:hAnsi="Arial Narrow" w:cs="Times New Roman"/>
        </w:rPr>
        <w:t xml:space="preserve"> and</w:t>
      </w:r>
      <w:r w:rsidR="001C1628" w:rsidRPr="00E63828">
        <w:rPr>
          <w:rFonts w:ascii="Arial Narrow" w:hAnsi="Arial Narrow" w:cs="Times New Roman"/>
        </w:rPr>
        <w:t xml:space="preserve"> measurement </w:t>
      </w:r>
      <w:r w:rsidR="004E0E37">
        <w:rPr>
          <w:rFonts w:ascii="Arial Narrow" w:hAnsi="Arial Narrow" w:cs="Times New Roman"/>
        </w:rPr>
        <w:t>systems inevitably take sides:</w:t>
      </w:r>
      <w:r w:rsidR="00AC7127" w:rsidRPr="00E63828">
        <w:rPr>
          <w:rFonts w:ascii="Arial Narrow" w:hAnsi="Arial Narrow" w:cs="Times New Roman"/>
        </w:rPr>
        <w:t xml:space="preserve"> </w:t>
      </w:r>
      <w:r w:rsidR="004E0E37">
        <w:rPr>
          <w:rFonts w:ascii="Arial Narrow" w:hAnsi="Arial Narrow" w:cs="Times New Roman"/>
        </w:rPr>
        <w:t>‘l</w:t>
      </w:r>
      <w:r w:rsidR="00AC7127" w:rsidRPr="00E63828">
        <w:rPr>
          <w:rFonts w:ascii="Arial Narrow" w:hAnsi="Arial Narrow" w:cs="Times New Roman"/>
        </w:rPr>
        <w:t>aw’ is not a safe and neutral engagement.</w:t>
      </w:r>
    </w:p>
    <w:p w:rsidR="00302162" w:rsidRPr="00E63828" w:rsidRDefault="00302162" w:rsidP="00E63828">
      <w:pPr>
        <w:spacing w:after="0" w:line="240" w:lineRule="auto"/>
        <w:rPr>
          <w:rFonts w:ascii="Arial Narrow" w:hAnsi="Arial Narrow" w:cs="Times New Roman"/>
        </w:rPr>
      </w:pPr>
    </w:p>
    <w:p w:rsidR="00302162" w:rsidRPr="00E63828" w:rsidRDefault="004E0E37" w:rsidP="00E63828">
      <w:pPr>
        <w:spacing w:line="240" w:lineRule="auto"/>
        <w:jc w:val="both"/>
        <w:rPr>
          <w:rFonts w:ascii="Arial Narrow" w:eastAsia="Times New Roman" w:hAnsi="Arial Narrow" w:cs="Times New Roman"/>
          <w:lang w:eastAsia="en-GB"/>
        </w:rPr>
      </w:pPr>
      <w:hyperlink r:id="rId14" w:history="1">
        <w:r w:rsidR="00302162" w:rsidRPr="004E0E37">
          <w:rPr>
            <w:rStyle w:val="Hyperlink"/>
            <w:rFonts w:ascii="Arial Narrow" w:eastAsia="Times New Roman" w:hAnsi="Arial Narrow" w:cs="Times New Roman"/>
            <w:lang w:eastAsia="en-GB"/>
          </w:rPr>
          <w:t>Alternative indicators</w:t>
        </w:r>
      </w:hyperlink>
      <w:r w:rsidR="00302162" w:rsidRPr="00E63828">
        <w:rPr>
          <w:rFonts w:ascii="Arial Narrow" w:eastAsia="Times New Roman" w:hAnsi="Arial Narrow" w:cs="Times New Roman"/>
          <w:lang w:eastAsia="en-GB"/>
        </w:rPr>
        <w:t xml:space="preserve"> proposed</w:t>
      </w:r>
      <w:r w:rsidR="00430CB0">
        <w:rPr>
          <w:rFonts w:ascii="Arial Narrow" w:eastAsia="Times New Roman" w:hAnsi="Arial Narrow" w:cs="Times New Roman"/>
          <w:lang w:eastAsia="en-GB"/>
        </w:rPr>
        <w:t xml:space="preserve"> for 16.3</w:t>
      </w:r>
      <w:r w:rsidR="00302162" w:rsidRPr="00E63828">
        <w:rPr>
          <w:rFonts w:ascii="Arial Narrow" w:eastAsia="Times New Roman" w:hAnsi="Arial Narrow" w:cs="Times New Roman"/>
          <w:lang w:eastAsia="en-GB"/>
        </w:rPr>
        <w:t xml:space="preserve"> include assessing the physical distance to affordable and effective legal services,</w:t>
      </w:r>
      <w:r>
        <w:rPr>
          <w:rFonts w:ascii="Arial Narrow" w:eastAsia="Times New Roman" w:hAnsi="Arial Narrow" w:cs="Times New Roman"/>
          <w:lang w:eastAsia="en-GB"/>
        </w:rPr>
        <w:t xml:space="preserve"> </w:t>
      </w:r>
      <w:r w:rsidRPr="00E63828">
        <w:rPr>
          <w:rFonts w:ascii="Arial Narrow" w:eastAsia="Times New Roman" w:hAnsi="Arial Narrow" w:cs="Times New Roman"/>
          <w:lang w:eastAsia="en-GB"/>
        </w:rPr>
        <w:t xml:space="preserve"> </w:t>
      </w:r>
      <w:r w:rsidR="00302162" w:rsidRPr="00E63828">
        <w:rPr>
          <w:rFonts w:ascii="Arial Narrow" w:eastAsia="Times New Roman" w:hAnsi="Arial Narrow" w:cs="Times New Roman"/>
          <w:lang w:eastAsia="en-GB"/>
        </w:rPr>
        <w:t>accessibility of dispute settlement mechanisms, user-orientated opinions regarding ‘fairness’ of justice processes and availability of counsel for criminal defendants, the financial threshold at which legal aid is provided,</w:t>
      </w:r>
      <w:r w:rsidRPr="00E63828">
        <w:rPr>
          <w:rFonts w:ascii="Arial Narrow" w:eastAsia="Times New Roman" w:hAnsi="Arial Narrow" w:cs="Times New Roman"/>
          <w:lang w:eastAsia="en-GB"/>
        </w:rPr>
        <w:t xml:space="preserve"> </w:t>
      </w:r>
      <w:r w:rsidR="00302162" w:rsidRPr="00E63828">
        <w:rPr>
          <w:rFonts w:ascii="Arial Narrow" w:eastAsia="Times New Roman" w:hAnsi="Arial Narrow" w:cs="Times New Roman"/>
          <w:lang w:eastAsia="en-GB"/>
        </w:rPr>
        <w:t>access to legal information</w:t>
      </w:r>
      <w:r>
        <w:rPr>
          <w:rFonts w:ascii="Arial Narrow" w:eastAsia="Times New Roman" w:hAnsi="Arial Narrow" w:cs="Times New Roman"/>
          <w:lang w:eastAsia="en-GB"/>
        </w:rPr>
        <w:t xml:space="preserve"> </w:t>
      </w:r>
      <w:r w:rsidR="00302162" w:rsidRPr="00E63828">
        <w:rPr>
          <w:rFonts w:ascii="Arial Narrow" w:eastAsia="Times New Roman" w:hAnsi="Arial Narrow" w:cs="Times New Roman"/>
          <w:lang w:eastAsia="en-GB"/>
        </w:rPr>
        <w:t xml:space="preserve">and use of the </w:t>
      </w:r>
      <w:hyperlink r:id="rId15" w:history="1">
        <w:r w:rsidR="00302162" w:rsidRPr="004E0E37">
          <w:rPr>
            <w:rStyle w:val="Hyperlink"/>
            <w:rFonts w:ascii="Arial Narrow" w:eastAsia="Times New Roman" w:hAnsi="Arial Narrow" w:cs="Times New Roman"/>
            <w:lang w:eastAsia="en-GB"/>
          </w:rPr>
          <w:t>World Justice Project’s Rule of Law Index</w:t>
        </w:r>
      </w:hyperlink>
      <w:r w:rsidR="00302162" w:rsidRPr="00E63828">
        <w:rPr>
          <w:rFonts w:ascii="Arial Narrow" w:eastAsia="Times New Roman" w:hAnsi="Arial Narrow" w:cs="Times New Roman"/>
          <w:lang w:eastAsia="en-GB"/>
        </w:rPr>
        <w:t>.</w:t>
      </w:r>
      <w:r w:rsidRPr="00E63828">
        <w:rPr>
          <w:rFonts w:ascii="Arial Narrow" w:eastAsia="Times New Roman" w:hAnsi="Arial Narrow" w:cs="Times New Roman"/>
          <w:lang w:eastAsia="en-GB"/>
        </w:rPr>
        <w:t xml:space="preserve"> </w:t>
      </w:r>
      <w:r>
        <w:rPr>
          <w:rFonts w:ascii="Arial Narrow" w:eastAsia="Times New Roman" w:hAnsi="Arial Narrow" w:cs="Times New Roman"/>
          <w:lang w:eastAsia="en-GB"/>
        </w:rPr>
        <w:t>Several NGO</w:t>
      </w:r>
      <w:r w:rsidR="00302162" w:rsidRPr="00E63828">
        <w:rPr>
          <w:rFonts w:ascii="Arial Narrow" w:eastAsia="Times New Roman" w:hAnsi="Arial Narrow" w:cs="Times New Roman"/>
          <w:lang w:eastAsia="en-GB"/>
        </w:rPr>
        <w:t>s insisted that the indicators for 16.3 should encompass in some way the ratification and implementation of human rights treaties such as ICCPR, ICESCR, CEDAW and CERD as a demonstration of coherence between sustainable development and human rights.</w:t>
      </w:r>
    </w:p>
    <w:p w:rsidR="00302162" w:rsidRPr="00E63828" w:rsidRDefault="00302162" w:rsidP="00E63828">
      <w:pPr>
        <w:spacing w:line="240" w:lineRule="auto"/>
        <w:jc w:val="both"/>
        <w:rPr>
          <w:rFonts w:ascii="Arial Narrow" w:eastAsia="Times New Roman" w:hAnsi="Arial Narrow" w:cs="Times New Roman"/>
          <w:lang w:eastAsia="en-GB"/>
        </w:rPr>
      </w:pPr>
      <w:r w:rsidRPr="00E63828">
        <w:rPr>
          <w:rFonts w:ascii="Arial Narrow" w:eastAsia="Times New Roman" w:hAnsi="Arial Narrow" w:cs="Times New Roman"/>
          <w:lang w:eastAsia="en-GB"/>
        </w:rPr>
        <w:t xml:space="preserve">The </w:t>
      </w:r>
      <w:r w:rsidR="00FA1782">
        <w:rPr>
          <w:rFonts w:ascii="Arial Narrow" w:eastAsia="Times New Roman" w:hAnsi="Arial Narrow" w:cs="Times New Roman"/>
          <w:lang w:eastAsia="en-GB"/>
        </w:rPr>
        <w:t xml:space="preserve">clearest </w:t>
      </w:r>
      <w:r w:rsidRPr="00E63828">
        <w:rPr>
          <w:rFonts w:ascii="Arial Narrow" w:eastAsia="Times New Roman" w:hAnsi="Arial Narrow" w:cs="Times New Roman"/>
          <w:lang w:eastAsia="en-GB"/>
        </w:rPr>
        <w:t>critique</w:t>
      </w:r>
      <w:r w:rsidR="004E0E37">
        <w:rPr>
          <w:rFonts w:ascii="Arial Narrow" w:eastAsia="Times New Roman" w:hAnsi="Arial Narrow" w:cs="Times New Roman"/>
          <w:lang w:eastAsia="en-GB"/>
        </w:rPr>
        <w:t xml:space="preserve"> in the </w:t>
      </w:r>
      <w:hyperlink r:id="rId16" w:history="1">
        <w:r w:rsidR="004E0E37" w:rsidRPr="00430CB0">
          <w:rPr>
            <w:rStyle w:val="Hyperlink"/>
            <w:rFonts w:ascii="Arial Narrow" w:eastAsia="Times New Roman" w:hAnsi="Arial Narrow" w:cs="Times New Roman"/>
            <w:lang w:eastAsia="en-GB"/>
          </w:rPr>
          <w:t>latest consultation</w:t>
        </w:r>
      </w:hyperlink>
      <w:r w:rsidRPr="00E63828">
        <w:rPr>
          <w:rFonts w:ascii="Arial Narrow" w:eastAsia="Times New Roman" w:hAnsi="Arial Narrow" w:cs="Times New Roman"/>
          <w:lang w:eastAsia="en-GB"/>
        </w:rPr>
        <w:t xml:space="preserve"> came from the Commonwealth Secretariat: </w:t>
      </w:r>
    </w:p>
    <w:p w:rsidR="00302162" w:rsidRPr="00E63828" w:rsidRDefault="004E0E37" w:rsidP="00E63828">
      <w:pPr>
        <w:spacing w:line="240" w:lineRule="auto"/>
        <w:ind w:left="284" w:right="284"/>
        <w:jc w:val="both"/>
        <w:rPr>
          <w:rFonts w:ascii="Arial Narrow" w:eastAsia="Times New Roman" w:hAnsi="Arial Narrow" w:cs="Times New Roman"/>
          <w:lang w:eastAsia="en-GB"/>
        </w:rPr>
      </w:pPr>
      <w:r>
        <w:rPr>
          <w:rFonts w:ascii="Arial Narrow" w:eastAsia="Times New Roman" w:hAnsi="Arial Narrow" w:cs="Times New Roman"/>
          <w:lang w:eastAsia="en-GB"/>
        </w:rPr>
        <w:t>“</w:t>
      </w:r>
      <w:r w:rsidR="00302162" w:rsidRPr="00E63828">
        <w:rPr>
          <w:rFonts w:ascii="Arial Narrow" w:eastAsia="Times New Roman" w:hAnsi="Arial Narrow" w:cs="Times New Roman"/>
          <w:lang w:eastAsia="en-GB"/>
        </w:rPr>
        <w:t>The rule of law can be characterised through three key elements – legal frameworks, institutional capacity, and legal empowerment. Each of these intersects with the economic, social and environmental dimensions of sustainable development. It is extremely challenging for just two global indicators to capture these elements and dimensions…the rule of law and access to justice concerns areas such as investment, commercial, corporate, land and family law.</w:t>
      </w:r>
      <w:r>
        <w:rPr>
          <w:rFonts w:ascii="Arial Narrow" w:eastAsia="Times New Roman" w:hAnsi="Arial Narrow" w:cs="Times New Roman"/>
          <w:lang w:eastAsia="en-GB"/>
        </w:rPr>
        <w:t>”</w:t>
      </w:r>
    </w:p>
    <w:p w:rsidR="00AC7127" w:rsidRDefault="00430CB0" w:rsidP="004E0E37">
      <w:pPr>
        <w:spacing w:line="240" w:lineRule="auto"/>
        <w:jc w:val="both"/>
        <w:rPr>
          <w:rFonts w:ascii="Arial Narrow" w:eastAsia="Times New Roman" w:hAnsi="Arial Narrow" w:cs="Times New Roman"/>
          <w:lang w:eastAsia="en-GB"/>
        </w:rPr>
      </w:pPr>
      <w:r>
        <w:rPr>
          <w:rFonts w:ascii="Arial Narrow" w:eastAsia="Times New Roman" w:hAnsi="Arial Narrow" w:cs="Times New Roman"/>
          <w:lang w:eastAsia="en-GB"/>
        </w:rPr>
        <w:t>T</w:t>
      </w:r>
      <w:r w:rsidR="00302162" w:rsidRPr="00E63828">
        <w:rPr>
          <w:rFonts w:ascii="Arial Narrow" w:eastAsia="Times New Roman" w:hAnsi="Arial Narrow" w:cs="Times New Roman"/>
          <w:lang w:eastAsia="en-GB"/>
        </w:rPr>
        <w:t xml:space="preserve">here </w:t>
      </w:r>
      <w:r>
        <w:rPr>
          <w:rFonts w:ascii="Arial Narrow" w:eastAsia="Times New Roman" w:hAnsi="Arial Narrow" w:cs="Times New Roman"/>
          <w:lang w:eastAsia="en-GB"/>
        </w:rPr>
        <w:t>has been</w:t>
      </w:r>
      <w:r w:rsidR="00302162" w:rsidRPr="00E63828">
        <w:rPr>
          <w:rFonts w:ascii="Arial Narrow" w:eastAsia="Times New Roman" w:hAnsi="Arial Narrow" w:cs="Times New Roman"/>
          <w:lang w:eastAsia="en-GB"/>
        </w:rPr>
        <w:t xml:space="preserve"> significant support for an </w:t>
      </w:r>
      <w:hyperlink r:id="rId17" w:history="1">
        <w:r w:rsidR="00302162" w:rsidRPr="00430CB0">
          <w:rPr>
            <w:rStyle w:val="Hyperlink"/>
            <w:rFonts w:ascii="Arial Narrow" w:eastAsia="Times New Roman" w:hAnsi="Arial Narrow" w:cs="Times New Roman"/>
            <w:lang w:eastAsia="en-GB"/>
          </w:rPr>
          <w:t>alternative indicator</w:t>
        </w:r>
      </w:hyperlink>
      <w:r w:rsidR="00302162" w:rsidRPr="00E63828">
        <w:rPr>
          <w:rFonts w:ascii="Arial Narrow" w:eastAsia="Times New Roman" w:hAnsi="Arial Narrow" w:cs="Times New Roman"/>
          <w:lang w:eastAsia="en-GB"/>
        </w:rPr>
        <w:t xml:space="preserve"> attempting to measure a wide range of situations by </w:t>
      </w:r>
      <w:r w:rsidR="00302162" w:rsidRPr="00FA1782">
        <w:rPr>
          <w:rFonts w:ascii="Arial Narrow" w:eastAsia="Times New Roman" w:hAnsi="Arial Narrow" w:cs="Times New Roman"/>
          <w:lang w:eastAsia="en-GB"/>
        </w:rPr>
        <w:t>assessing the ‘proportion of those who have experienced a dispute in the past 12 months and who have accessed a fair formal, informal, alternative or traditional dispute mechanism who feel the process was just’.</w:t>
      </w:r>
    </w:p>
    <w:p w:rsidR="00D24858" w:rsidRPr="00D24858" w:rsidRDefault="00D24858" w:rsidP="004E0E37">
      <w:pPr>
        <w:spacing w:line="240" w:lineRule="auto"/>
        <w:jc w:val="both"/>
        <w:rPr>
          <w:rFonts w:ascii="Arial Narrow" w:hAnsi="Arial Narrow" w:cs="Times New Roman"/>
        </w:rPr>
      </w:pPr>
      <w:r w:rsidRPr="00E63828">
        <w:rPr>
          <w:rFonts w:ascii="Arial Narrow" w:eastAsia="Times New Roman" w:hAnsi="Arial Narrow" w:cs="Times New Roman"/>
          <w:lang w:eastAsia="en-GB"/>
        </w:rPr>
        <w:lastRenderedPageBreak/>
        <w:t>Near universal agreement rega</w:t>
      </w:r>
      <w:r>
        <w:rPr>
          <w:rFonts w:ascii="Arial Narrow" w:eastAsia="Times New Roman" w:hAnsi="Arial Narrow" w:cs="Times New Roman"/>
          <w:lang w:eastAsia="en-GB"/>
        </w:rPr>
        <w:t>rding the t</w:t>
      </w:r>
      <w:r w:rsidRPr="00E63828">
        <w:rPr>
          <w:rFonts w:ascii="Arial Narrow" w:eastAsia="Times New Roman" w:hAnsi="Arial Narrow" w:cs="Times New Roman"/>
          <w:lang w:eastAsia="en-GB"/>
        </w:rPr>
        <w:t xml:space="preserve">arget has clashed with near universal disagreement and </w:t>
      </w:r>
      <w:r w:rsidR="00FA1782">
        <w:rPr>
          <w:rFonts w:ascii="Arial Narrow" w:eastAsia="Times New Roman" w:hAnsi="Arial Narrow" w:cs="Times New Roman"/>
          <w:lang w:eastAsia="en-GB"/>
        </w:rPr>
        <w:t>some ambivalence regarding the i</w:t>
      </w:r>
      <w:r w:rsidRPr="00E63828">
        <w:rPr>
          <w:rFonts w:ascii="Arial Narrow" w:eastAsia="Times New Roman" w:hAnsi="Arial Narrow" w:cs="Times New Roman"/>
          <w:lang w:eastAsia="en-GB"/>
        </w:rPr>
        <w:t>ndicators. At this level of specificity common ground is scarce, reflecting the broad</w:t>
      </w:r>
      <w:r w:rsidR="00FA1782">
        <w:rPr>
          <w:rFonts w:ascii="Arial Narrow" w:eastAsia="Times New Roman" w:hAnsi="Arial Narrow" w:cs="Times New Roman"/>
          <w:lang w:eastAsia="en-GB"/>
        </w:rPr>
        <w:t>er debate regarding the rule of law.</w:t>
      </w:r>
    </w:p>
    <w:p w:rsidR="00AC7127" w:rsidRDefault="00ED7942" w:rsidP="00E63828">
      <w:pPr>
        <w:spacing w:after="0" w:line="240" w:lineRule="auto"/>
        <w:jc w:val="both"/>
        <w:rPr>
          <w:rFonts w:ascii="Arial Narrow" w:hAnsi="Arial Narrow" w:cs="Times New Roman"/>
        </w:rPr>
      </w:pPr>
      <w:r>
        <w:rPr>
          <w:rFonts w:ascii="Arial Narrow" w:eastAsia="Times New Roman" w:hAnsi="Arial Narrow" w:cs="Times New Roman"/>
          <w:lang w:eastAsia="en-ZA"/>
        </w:rPr>
        <w:t>T</w:t>
      </w:r>
      <w:r w:rsidR="00946FEA">
        <w:rPr>
          <w:rFonts w:ascii="Arial Narrow" w:eastAsia="Times New Roman" w:hAnsi="Arial Narrow" w:cs="Times New Roman"/>
          <w:lang w:eastAsia="en-ZA"/>
        </w:rPr>
        <w:t>he draft indicators lean towards support</w:t>
      </w:r>
      <w:r>
        <w:rPr>
          <w:rFonts w:ascii="Arial Narrow" w:eastAsia="Times New Roman" w:hAnsi="Arial Narrow" w:cs="Times New Roman"/>
          <w:lang w:eastAsia="en-ZA"/>
        </w:rPr>
        <w:t>ing</w:t>
      </w:r>
      <w:r w:rsidR="00AC7127" w:rsidRPr="00E63828">
        <w:rPr>
          <w:rFonts w:ascii="Arial Narrow" w:eastAsia="Times New Roman" w:hAnsi="Arial Narrow" w:cs="Times New Roman"/>
          <w:lang w:eastAsia="en-ZA"/>
        </w:rPr>
        <w:t xml:space="preserve"> </w:t>
      </w:r>
      <w:r w:rsidR="00946FEA">
        <w:rPr>
          <w:rFonts w:ascii="Arial Narrow" w:eastAsia="Times New Roman" w:hAnsi="Arial Narrow" w:cs="Times New Roman"/>
          <w:lang w:eastAsia="en-ZA"/>
        </w:rPr>
        <w:t xml:space="preserve">of a </w:t>
      </w:r>
      <w:r w:rsidR="00AC7127" w:rsidRPr="00E63828">
        <w:rPr>
          <w:rFonts w:ascii="Arial Narrow" w:eastAsia="Times New Roman" w:hAnsi="Arial Narrow" w:cs="Times New Roman"/>
          <w:lang w:eastAsia="en-ZA"/>
        </w:rPr>
        <w:t>‘thin’ form</w:t>
      </w:r>
      <w:r w:rsidR="00946FEA">
        <w:rPr>
          <w:rFonts w:ascii="Arial Narrow" w:eastAsia="Times New Roman" w:hAnsi="Arial Narrow" w:cs="Times New Roman"/>
          <w:lang w:eastAsia="en-ZA"/>
        </w:rPr>
        <w:t>alist noti</w:t>
      </w:r>
      <w:r w:rsidR="00430CB0">
        <w:rPr>
          <w:rFonts w:ascii="Arial Narrow" w:eastAsia="Times New Roman" w:hAnsi="Arial Narrow" w:cs="Times New Roman"/>
          <w:lang w:eastAsia="en-ZA"/>
        </w:rPr>
        <w:t>on of the rule of law, devoid of individual rights or concepts of social justice.</w:t>
      </w:r>
      <w:r w:rsidR="00946FEA">
        <w:rPr>
          <w:rFonts w:ascii="Arial Narrow" w:eastAsia="Times New Roman" w:hAnsi="Arial Narrow" w:cs="Times New Roman"/>
          <w:lang w:eastAsia="en-ZA"/>
        </w:rPr>
        <w:t xml:space="preserve"> </w:t>
      </w:r>
      <w:r w:rsidR="001C1628" w:rsidRPr="00E63828">
        <w:rPr>
          <w:rFonts w:ascii="Arial Narrow" w:eastAsia="Times New Roman" w:hAnsi="Arial Narrow" w:cs="Times New Roman"/>
          <w:lang w:eastAsia="en-ZA"/>
        </w:rPr>
        <w:t xml:space="preserve">Frequently, </w:t>
      </w:r>
      <w:r w:rsidR="001C1628" w:rsidRPr="00E63828">
        <w:rPr>
          <w:rFonts w:ascii="Arial Narrow" w:hAnsi="Arial Narrow" w:cs="Times New Roman"/>
        </w:rPr>
        <w:t>d</w:t>
      </w:r>
      <w:r w:rsidR="00AC7127" w:rsidRPr="00E63828">
        <w:rPr>
          <w:rFonts w:ascii="Arial Narrow" w:hAnsi="Arial Narrow" w:cs="Times New Roman"/>
        </w:rPr>
        <w:t>ialogue a</w:t>
      </w:r>
      <w:r w:rsidR="00EA2811" w:rsidRPr="00E63828">
        <w:rPr>
          <w:rFonts w:ascii="Arial Narrow" w:hAnsi="Arial Narrow" w:cs="Times New Roman"/>
        </w:rPr>
        <w:t>round criminal justice systems presume</w:t>
      </w:r>
      <w:r w:rsidR="00AC7127" w:rsidRPr="00E63828">
        <w:rPr>
          <w:rFonts w:ascii="Arial Narrow" w:hAnsi="Arial Narrow" w:cs="Times New Roman"/>
        </w:rPr>
        <w:t xml:space="preserve"> the state as an unproblematic vehicle of sovereignty and law. Prioritising the criminal legal system </w:t>
      </w:r>
      <w:r w:rsidR="00430CB0">
        <w:rPr>
          <w:rFonts w:ascii="Arial Narrow" w:hAnsi="Arial Narrow" w:cs="Times New Roman"/>
        </w:rPr>
        <w:t>supports codification of</w:t>
      </w:r>
      <w:r w:rsidR="001C1628" w:rsidRPr="00E63828">
        <w:rPr>
          <w:rFonts w:ascii="Arial Narrow" w:hAnsi="Arial Narrow" w:cs="Times New Roman"/>
        </w:rPr>
        <w:t xml:space="preserve"> </w:t>
      </w:r>
      <w:r w:rsidR="00AC7127" w:rsidRPr="00E63828">
        <w:rPr>
          <w:rFonts w:ascii="Arial Narrow" w:hAnsi="Arial Narrow" w:cs="Times New Roman"/>
        </w:rPr>
        <w:t xml:space="preserve">prevailing practice and power structures along similar lines to </w:t>
      </w:r>
      <w:r w:rsidR="00EA2811" w:rsidRPr="00E63828">
        <w:rPr>
          <w:rFonts w:ascii="Arial Narrow" w:hAnsi="Arial Narrow" w:cs="Times New Roman"/>
        </w:rPr>
        <w:t xml:space="preserve">blind </w:t>
      </w:r>
      <w:r w:rsidR="00AC7127" w:rsidRPr="00E63828">
        <w:rPr>
          <w:rFonts w:ascii="Arial Narrow" w:hAnsi="Arial Narrow" w:cs="Times New Roman"/>
        </w:rPr>
        <w:t>prioritisation of contract and property rights</w:t>
      </w:r>
      <w:r w:rsidR="00430CB0">
        <w:rPr>
          <w:rFonts w:ascii="Arial Narrow" w:hAnsi="Arial Narrow" w:cs="Times New Roman"/>
        </w:rPr>
        <w:t xml:space="preserve"> within legal reform programmes</w:t>
      </w:r>
      <w:r w:rsidR="00AC7127" w:rsidRPr="00E63828">
        <w:rPr>
          <w:rFonts w:ascii="Arial Narrow" w:hAnsi="Arial Narrow" w:cs="Times New Roman"/>
        </w:rPr>
        <w:t xml:space="preserve">. The focus is on maintenance of the status quo and security </w:t>
      </w:r>
      <w:r w:rsidR="001C1628" w:rsidRPr="00E63828">
        <w:rPr>
          <w:rFonts w:ascii="Arial Narrow" w:hAnsi="Arial Narrow" w:cs="Times New Roman"/>
        </w:rPr>
        <w:t>rather than</w:t>
      </w:r>
      <w:r w:rsidR="00AC7127" w:rsidRPr="00E63828">
        <w:rPr>
          <w:rFonts w:ascii="Arial Narrow" w:hAnsi="Arial Narrow" w:cs="Times New Roman"/>
        </w:rPr>
        <w:t xml:space="preserve"> public discourse and participation. The origins, focus and direction of the criminal system are not questioned and the central authority is </w:t>
      </w:r>
      <w:r w:rsidR="00430CB0">
        <w:rPr>
          <w:rFonts w:ascii="Arial Narrow" w:hAnsi="Arial Narrow" w:cs="Times New Roman"/>
        </w:rPr>
        <w:t xml:space="preserve">inherently </w:t>
      </w:r>
      <w:r w:rsidR="00AC7127" w:rsidRPr="00E63828">
        <w:rPr>
          <w:rFonts w:ascii="Arial Narrow" w:hAnsi="Arial Narrow" w:cs="Times New Roman"/>
        </w:rPr>
        <w:t xml:space="preserve">upheld and supported. </w:t>
      </w:r>
    </w:p>
    <w:p w:rsidR="00D24858" w:rsidRDefault="00D24858" w:rsidP="00E63828">
      <w:pPr>
        <w:spacing w:after="0" w:line="240" w:lineRule="auto"/>
        <w:jc w:val="both"/>
        <w:rPr>
          <w:rFonts w:ascii="Arial Narrow" w:hAnsi="Arial Narrow" w:cs="Times New Roman"/>
        </w:rPr>
      </w:pPr>
    </w:p>
    <w:p w:rsidR="00D24858" w:rsidRPr="00D24858" w:rsidRDefault="00ED7942" w:rsidP="00E63828">
      <w:pPr>
        <w:spacing w:after="0" w:line="240" w:lineRule="auto"/>
        <w:jc w:val="both"/>
        <w:rPr>
          <w:rFonts w:ascii="Arial Narrow" w:hAnsi="Arial Narrow" w:cs="Times New Roman"/>
        </w:rPr>
      </w:pPr>
      <w:r w:rsidRPr="00E63828">
        <w:rPr>
          <w:rFonts w:ascii="Arial Narrow" w:eastAsia="Times New Roman" w:hAnsi="Arial Narrow" w:cs="Times New Roman"/>
          <w:lang w:eastAsia="en-ZA"/>
        </w:rPr>
        <w:t>The political, conceptual and empirical work required cannot be aggregated at a global level.</w:t>
      </w:r>
      <w:r>
        <w:rPr>
          <w:rFonts w:ascii="Arial Narrow" w:eastAsia="Times New Roman" w:hAnsi="Arial Narrow" w:cs="Times New Roman"/>
          <w:lang w:eastAsia="en-ZA"/>
        </w:rPr>
        <w:t xml:space="preserve"> </w:t>
      </w:r>
      <w:r w:rsidR="00D24858" w:rsidRPr="00E63828">
        <w:rPr>
          <w:rFonts w:ascii="Arial Narrow" w:eastAsia="Times New Roman" w:hAnsi="Arial Narrow" w:cs="Times New Roman"/>
          <w:lang w:eastAsia="en-ZA"/>
        </w:rPr>
        <w:t xml:space="preserve">As a contributing means to development, </w:t>
      </w:r>
      <w:r>
        <w:rPr>
          <w:rFonts w:ascii="Arial Narrow" w:eastAsia="Times New Roman" w:hAnsi="Arial Narrow" w:cs="Times New Roman"/>
          <w:lang w:eastAsia="en-ZA"/>
        </w:rPr>
        <w:t xml:space="preserve">the </w:t>
      </w:r>
      <w:r w:rsidR="00D24858" w:rsidRPr="00E63828">
        <w:rPr>
          <w:rFonts w:ascii="Arial Narrow" w:eastAsia="Times New Roman" w:hAnsi="Arial Narrow" w:cs="Times New Roman"/>
          <w:lang w:eastAsia="en-ZA"/>
        </w:rPr>
        <w:t xml:space="preserve">rule of law must focus on local empowerment for </w:t>
      </w:r>
      <w:r>
        <w:rPr>
          <w:rFonts w:ascii="Arial Narrow" w:eastAsia="Times New Roman" w:hAnsi="Arial Narrow" w:cs="Times New Roman"/>
          <w:lang w:eastAsia="en-ZA"/>
        </w:rPr>
        <w:t xml:space="preserve">participatory </w:t>
      </w:r>
      <w:r w:rsidR="00D24858" w:rsidRPr="00E63828">
        <w:rPr>
          <w:rFonts w:ascii="Arial Narrow" w:eastAsia="Times New Roman" w:hAnsi="Arial Narrow" w:cs="Times New Roman"/>
          <w:lang w:eastAsia="en-ZA"/>
        </w:rPr>
        <w:t xml:space="preserve">political decision making. Following directly from this, measurement and indicator structures must be flexible and localised. The intended </w:t>
      </w:r>
      <w:hyperlink r:id="rId18" w:history="1">
        <w:r w:rsidR="00D24858" w:rsidRPr="00E63828">
          <w:rPr>
            <w:rStyle w:val="Hyperlink"/>
            <w:rFonts w:ascii="Arial Narrow" w:eastAsia="Times New Roman" w:hAnsi="Arial Narrow" w:cs="Times New Roman"/>
            <w:lang w:eastAsia="en-ZA"/>
          </w:rPr>
          <w:t>regional and local indicator frameworks</w:t>
        </w:r>
      </w:hyperlink>
      <w:r w:rsidR="00D24858" w:rsidRPr="00E63828">
        <w:rPr>
          <w:rFonts w:ascii="Arial Narrow" w:eastAsia="Times New Roman" w:hAnsi="Arial Narrow" w:cs="Times New Roman"/>
          <w:lang w:eastAsia="en-ZA"/>
        </w:rPr>
        <w:t xml:space="preserve">, where they materialise, may be able to assist this purpose. </w:t>
      </w:r>
    </w:p>
    <w:p w:rsidR="001C1628" w:rsidRPr="00E63828" w:rsidRDefault="001C1628" w:rsidP="00E63828">
      <w:pPr>
        <w:spacing w:after="0" w:line="240" w:lineRule="auto"/>
        <w:jc w:val="both"/>
        <w:rPr>
          <w:rFonts w:ascii="Arial Narrow" w:hAnsi="Arial Narrow" w:cs="Times New Roman"/>
        </w:rPr>
      </w:pPr>
    </w:p>
    <w:p w:rsidR="00EA2811" w:rsidRPr="00E63828" w:rsidRDefault="001C1628" w:rsidP="004E0E37">
      <w:pPr>
        <w:spacing w:line="240" w:lineRule="auto"/>
        <w:jc w:val="both"/>
        <w:rPr>
          <w:rFonts w:ascii="Arial Narrow" w:hAnsi="Arial Narrow" w:cs="Times New Roman"/>
        </w:rPr>
      </w:pPr>
      <w:r w:rsidRPr="00E63828">
        <w:rPr>
          <w:rFonts w:ascii="Arial Narrow" w:eastAsia="Times New Roman" w:hAnsi="Arial Narrow" w:cs="Times New Roman"/>
          <w:lang w:eastAsia="en-ZA"/>
        </w:rPr>
        <w:t xml:space="preserve">Of course these complaints are offset to some extent by other aspects of the </w:t>
      </w:r>
      <w:r w:rsidR="00EA2811" w:rsidRPr="00E63828">
        <w:rPr>
          <w:rFonts w:ascii="Arial Narrow" w:eastAsia="Times New Roman" w:hAnsi="Arial Narrow" w:cs="Times New Roman"/>
          <w:lang w:eastAsia="en-ZA"/>
        </w:rPr>
        <w:t xml:space="preserve">broader </w:t>
      </w:r>
      <w:r w:rsidRPr="00E63828">
        <w:rPr>
          <w:rFonts w:ascii="Arial Narrow" w:eastAsia="Times New Roman" w:hAnsi="Arial Narrow" w:cs="Times New Roman"/>
          <w:lang w:eastAsia="en-ZA"/>
        </w:rPr>
        <w:t xml:space="preserve">SDG indicator framework, which should be assessed as a whole. </w:t>
      </w:r>
      <w:r w:rsidRPr="00E63828">
        <w:rPr>
          <w:rFonts w:ascii="Arial Narrow" w:hAnsi="Arial Narrow" w:cs="Times New Roman"/>
        </w:rPr>
        <w:t xml:space="preserve">But it is worth taking a moment </w:t>
      </w:r>
      <w:r w:rsidR="00946FEA">
        <w:rPr>
          <w:rFonts w:ascii="Arial Narrow" w:hAnsi="Arial Narrow" w:cs="Times New Roman"/>
        </w:rPr>
        <w:t xml:space="preserve">to consider </w:t>
      </w:r>
      <w:r w:rsidRPr="00E63828">
        <w:rPr>
          <w:rFonts w:ascii="Arial Narrow" w:hAnsi="Arial Narrow" w:cs="Times New Roman"/>
        </w:rPr>
        <w:t xml:space="preserve">what is </w:t>
      </w:r>
      <w:r w:rsidR="00EA2811" w:rsidRPr="00E63828">
        <w:rPr>
          <w:rFonts w:ascii="Arial Narrow" w:hAnsi="Arial Narrow" w:cs="Times New Roman"/>
        </w:rPr>
        <w:t xml:space="preserve">being put forward </w:t>
      </w:r>
      <w:r w:rsidR="00946FEA">
        <w:rPr>
          <w:rFonts w:ascii="Arial Narrow" w:hAnsi="Arial Narrow" w:cs="Times New Roman"/>
        </w:rPr>
        <w:t xml:space="preserve">here </w:t>
      </w:r>
      <w:r w:rsidR="00EA2811" w:rsidRPr="00E63828">
        <w:rPr>
          <w:rFonts w:ascii="Arial Narrow" w:hAnsi="Arial Narrow" w:cs="Times New Roman"/>
        </w:rPr>
        <w:t>as</w:t>
      </w:r>
      <w:r w:rsidRPr="00E63828">
        <w:rPr>
          <w:rFonts w:ascii="Arial Narrow" w:hAnsi="Arial Narrow" w:cs="Times New Roman"/>
        </w:rPr>
        <w:t xml:space="preserve"> ‘rule of law’ by an organisation with the normative weight of the United Nations. </w:t>
      </w:r>
      <w:r w:rsidR="00ED7942">
        <w:rPr>
          <w:rFonts w:ascii="Arial Narrow" w:hAnsi="Arial Narrow" w:cs="Times New Roman"/>
        </w:rPr>
        <w:t>P</w:t>
      </w:r>
      <w:r w:rsidR="00EA2811" w:rsidRPr="00E63828">
        <w:rPr>
          <w:rFonts w:ascii="Arial Narrow" w:eastAsia="Times New Roman" w:hAnsi="Arial Narrow" w:cs="Times New Roman"/>
          <w:lang w:eastAsia="en-ZA"/>
        </w:rPr>
        <w:t>oorly directed indicators could result in ambivalent progress at best and perverse reporting incentives at worst.</w:t>
      </w:r>
      <w:r w:rsidR="004E0E37">
        <w:rPr>
          <w:rFonts w:ascii="Arial Narrow" w:hAnsi="Arial Narrow" w:cs="Times New Roman"/>
        </w:rPr>
        <w:t xml:space="preserve"> </w:t>
      </w:r>
      <w:r w:rsidR="00ED7942">
        <w:rPr>
          <w:rFonts w:ascii="Arial Narrow" w:hAnsi="Arial Narrow" w:cs="Times New Roman"/>
        </w:rPr>
        <w:t xml:space="preserve">Beyond that, the indicator framework set to be in place for 15 years will influence the fundamental conceptualisation of ‘rule of law’. What has been left out should be noted. </w:t>
      </w:r>
      <w:bookmarkStart w:id="0" w:name="_GoBack"/>
      <w:bookmarkEnd w:id="0"/>
      <w:r w:rsidR="00ED7942">
        <w:rPr>
          <w:rFonts w:ascii="Arial Narrow" w:hAnsi="Arial Narrow" w:cs="Times New Roman"/>
        </w:rPr>
        <w:t xml:space="preserve"> </w:t>
      </w:r>
    </w:p>
    <w:p w:rsidR="00302162" w:rsidRPr="00E63828" w:rsidRDefault="00302162" w:rsidP="00E63828">
      <w:pPr>
        <w:spacing w:line="240" w:lineRule="auto"/>
        <w:jc w:val="both"/>
        <w:rPr>
          <w:rFonts w:ascii="Arial Narrow" w:hAnsi="Arial Narrow" w:cs="Times New Roman"/>
        </w:rPr>
      </w:pPr>
    </w:p>
    <w:p w:rsidR="00302162" w:rsidRPr="00E63828" w:rsidRDefault="00302162" w:rsidP="00E63828">
      <w:pPr>
        <w:spacing w:line="240" w:lineRule="auto"/>
        <w:jc w:val="both"/>
        <w:rPr>
          <w:rFonts w:ascii="Arial Narrow" w:eastAsia="Times New Roman" w:hAnsi="Arial Narrow" w:cs="Times New Roman"/>
          <w:lang w:eastAsia="en-GB"/>
        </w:rPr>
      </w:pPr>
    </w:p>
    <w:p w:rsidR="00302162" w:rsidRPr="00EA2811" w:rsidRDefault="00302162" w:rsidP="00EA2811">
      <w:pPr>
        <w:spacing w:line="240" w:lineRule="auto"/>
        <w:jc w:val="both"/>
        <w:rPr>
          <w:rFonts w:ascii="Arial Narrow" w:hAnsi="Arial Narrow" w:cs="Times New Roman"/>
        </w:rPr>
      </w:pPr>
    </w:p>
    <w:p w:rsidR="00AC7127" w:rsidRPr="00EA2811" w:rsidRDefault="00AC7127" w:rsidP="00EA2811">
      <w:pPr>
        <w:spacing w:after="0" w:line="240" w:lineRule="auto"/>
        <w:jc w:val="both"/>
        <w:rPr>
          <w:rFonts w:ascii="Arial Narrow" w:hAnsi="Arial Narrow" w:cs="Times New Roman"/>
        </w:rPr>
      </w:pPr>
      <w:r w:rsidRPr="00EA2811">
        <w:rPr>
          <w:rFonts w:ascii="Arial Narrow" w:hAnsi="Arial Narrow" w:cs="Times New Roman"/>
        </w:rPr>
        <w:br/>
      </w:r>
    </w:p>
    <w:p w:rsidR="00AC7127" w:rsidRPr="00EA2811" w:rsidRDefault="00AC7127" w:rsidP="00EA2811">
      <w:pPr>
        <w:spacing w:after="0" w:line="240" w:lineRule="auto"/>
        <w:jc w:val="both"/>
        <w:rPr>
          <w:rFonts w:ascii="Arial Narrow" w:hAnsi="Arial Narrow" w:cs="Times New Roman"/>
        </w:rPr>
      </w:pPr>
    </w:p>
    <w:p w:rsidR="00AC7127" w:rsidRPr="00EA2811" w:rsidRDefault="00AC7127" w:rsidP="00EA2811">
      <w:pPr>
        <w:spacing w:after="0" w:line="240" w:lineRule="auto"/>
        <w:jc w:val="both"/>
        <w:rPr>
          <w:rFonts w:ascii="Arial Narrow" w:hAnsi="Arial Narrow" w:cs="Times New Roman"/>
        </w:rPr>
      </w:pPr>
    </w:p>
    <w:p w:rsidR="00AC7127" w:rsidRPr="00EA2811" w:rsidRDefault="00AC7127" w:rsidP="00EA2811">
      <w:pPr>
        <w:spacing w:line="240" w:lineRule="auto"/>
        <w:rPr>
          <w:rFonts w:ascii="Arial Narrow" w:hAnsi="Arial Narrow"/>
        </w:rPr>
      </w:pPr>
    </w:p>
    <w:sectPr w:rsidR="00AC7127" w:rsidRPr="00EA28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82" w:rsidRDefault="00FA1782" w:rsidP="00AC7127">
      <w:pPr>
        <w:spacing w:after="0" w:line="240" w:lineRule="auto"/>
      </w:pPr>
      <w:r>
        <w:separator/>
      </w:r>
    </w:p>
  </w:endnote>
  <w:endnote w:type="continuationSeparator" w:id="0">
    <w:p w:rsidR="00FA1782" w:rsidRDefault="00FA1782" w:rsidP="00A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82" w:rsidRDefault="00FA1782" w:rsidP="00AC7127">
      <w:pPr>
        <w:spacing w:after="0" w:line="240" w:lineRule="auto"/>
      </w:pPr>
      <w:r>
        <w:separator/>
      </w:r>
    </w:p>
  </w:footnote>
  <w:footnote w:type="continuationSeparator" w:id="0">
    <w:p w:rsidR="00FA1782" w:rsidRDefault="00FA1782" w:rsidP="00AC7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BB"/>
    <w:rsid w:val="000F5529"/>
    <w:rsid w:val="001C1628"/>
    <w:rsid w:val="00302162"/>
    <w:rsid w:val="003977BB"/>
    <w:rsid w:val="00430CB0"/>
    <w:rsid w:val="0044016C"/>
    <w:rsid w:val="004E0E37"/>
    <w:rsid w:val="005549B5"/>
    <w:rsid w:val="007C42E6"/>
    <w:rsid w:val="00946FEA"/>
    <w:rsid w:val="00AC7127"/>
    <w:rsid w:val="00D24858"/>
    <w:rsid w:val="00E63828"/>
    <w:rsid w:val="00E73C17"/>
    <w:rsid w:val="00EA2811"/>
    <w:rsid w:val="00ED7942"/>
    <w:rsid w:val="00FA1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127"/>
    <w:rPr>
      <w:color w:val="0000FF" w:themeColor="hyperlink"/>
      <w:u w:val="single"/>
    </w:rPr>
  </w:style>
  <w:style w:type="character" w:customStyle="1" w:styleId="apple-converted-space">
    <w:name w:val="apple-converted-space"/>
    <w:basedOn w:val="DefaultParagraphFont"/>
    <w:rsid w:val="00AC7127"/>
  </w:style>
  <w:style w:type="paragraph" w:styleId="FootnoteText">
    <w:name w:val="footnote text"/>
    <w:basedOn w:val="Normal"/>
    <w:link w:val="FootnoteTextChar"/>
    <w:uiPriority w:val="99"/>
    <w:semiHidden/>
    <w:unhideWhenUsed/>
    <w:rsid w:val="00AC7127"/>
    <w:pPr>
      <w:spacing w:after="0" w:line="240" w:lineRule="auto"/>
    </w:pPr>
    <w:rPr>
      <w:rFonts w:eastAsiaTheme="minorEastAsia"/>
      <w:sz w:val="20"/>
      <w:szCs w:val="20"/>
      <w:lang w:val="en-ZA"/>
    </w:rPr>
  </w:style>
  <w:style w:type="character" w:customStyle="1" w:styleId="FootnoteTextChar">
    <w:name w:val="Footnote Text Char"/>
    <w:basedOn w:val="DefaultParagraphFont"/>
    <w:link w:val="FootnoteText"/>
    <w:uiPriority w:val="99"/>
    <w:semiHidden/>
    <w:rsid w:val="00AC7127"/>
    <w:rPr>
      <w:rFonts w:eastAsiaTheme="minorEastAsia"/>
      <w:sz w:val="20"/>
      <w:szCs w:val="20"/>
      <w:lang w:val="en-ZA"/>
    </w:rPr>
  </w:style>
  <w:style w:type="character" w:styleId="FootnoteReference">
    <w:name w:val="footnote reference"/>
    <w:basedOn w:val="DefaultParagraphFont"/>
    <w:uiPriority w:val="99"/>
    <w:semiHidden/>
    <w:unhideWhenUsed/>
    <w:rsid w:val="00AC7127"/>
    <w:rPr>
      <w:vertAlign w:val="superscript"/>
    </w:rPr>
  </w:style>
  <w:style w:type="character" w:styleId="FollowedHyperlink">
    <w:name w:val="FollowedHyperlink"/>
    <w:basedOn w:val="DefaultParagraphFont"/>
    <w:uiPriority w:val="99"/>
    <w:semiHidden/>
    <w:unhideWhenUsed/>
    <w:rsid w:val="00EA28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127"/>
    <w:rPr>
      <w:color w:val="0000FF" w:themeColor="hyperlink"/>
      <w:u w:val="single"/>
    </w:rPr>
  </w:style>
  <w:style w:type="character" w:customStyle="1" w:styleId="apple-converted-space">
    <w:name w:val="apple-converted-space"/>
    <w:basedOn w:val="DefaultParagraphFont"/>
    <w:rsid w:val="00AC7127"/>
  </w:style>
  <w:style w:type="paragraph" w:styleId="FootnoteText">
    <w:name w:val="footnote text"/>
    <w:basedOn w:val="Normal"/>
    <w:link w:val="FootnoteTextChar"/>
    <w:uiPriority w:val="99"/>
    <w:semiHidden/>
    <w:unhideWhenUsed/>
    <w:rsid w:val="00AC7127"/>
    <w:pPr>
      <w:spacing w:after="0" w:line="240" w:lineRule="auto"/>
    </w:pPr>
    <w:rPr>
      <w:rFonts w:eastAsiaTheme="minorEastAsia"/>
      <w:sz w:val="20"/>
      <w:szCs w:val="20"/>
      <w:lang w:val="en-ZA"/>
    </w:rPr>
  </w:style>
  <w:style w:type="character" w:customStyle="1" w:styleId="FootnoteTextChar">
    <w:name w:val="Footnote Text Char"/>
    <w:basedOn w:val="DefaultParagraphFont"/>
    <w:link w:val="FootnoteText"/>
    <w:uiPriority w:val="99"/>
    <w:semiHidden/>
    <w:rsid w:val="00AC7127"/>
    <w:rPr>
      <w:rFonts w:eastAsiaTheme="minorEastAsia"/>
      <w:sz w:val="20"/>
      <w:szCs w:val="20"/>
      <w:lang w:val="en-ZA"/>
    </w:rPr>
  </w:style>
  <w:style w:type="character" w:styleId="FootnoteReference">
    <w:name w:val="footnote reference"/>
    <w:basedOn w:val="DefaultParagraphFont"/>
    <w:uiPriority w:val="99"/>
    <w:semiHidden/>
    <w:unhideWhenUsed/>
    <w:rsid w:val="00AC7127"/>
    <w:rPr>
      <w:vertAlign w:val="superscript"/>
    </w:rPr>
  </w:style>
  <w:style w:type="character" w:styleId="FollowedHyperlink">
    <w:name w:val="FollowedHyperlink"/>
    <w:basedOn w:val="DefaultParagraphFont"/>
    <w:uiPriority w:val="99"/>
    <w:semiHidden/>
    <w:unhideWhenUsed/>
    <w:rsid w:val="00EA2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stats.un.org/sdgs" TargetMode="External"/><Relationship Id="rId13" Type="http://schemas.openxmlformats.org/officeDocument/2006/relationships/hyperlink" Target="http://www.undp.org/content/dam/undp/library/Democratic%20Governance/Virtual%20Network%20on%20Goal%2016%20indicators%20-%20Indicators%20we%20want%20Report.pdf" TargetMode="External"/><Relationship Id="rId18" Type="http://schemas.openxmlformats.org/officeDocument/2006/relationships/hyperlink" Target="http://unstats.un.org/sdgs/files/ga-briefing-28-Jan-2016/PGA-Briefing--Status-of-IAEG-SDGs-work-on-global-SDG-indicators-28-Jan-2016.pdf" TargetMode="External"/><Relationship Id="rId3" Type="http://schemas.openxmlformats.org/officeDocument/2006/relationships/settings" Target="settings.xml"/><Relationship Id="rId7" Type="http://schemas.openxmlformats.org/officeDocument/2006/relationships/hyperlink" Target="https://sustainabledevelopment.un.org/sdg16" TargetMode="External"/><Relationship Id="rId12" Type="http://schemas.openxmlformats.org/officeDocument/2006/relationships/hyperlink" Target="http://unstats.un.org/sdgs/iaeg-sdgs/open-consultation-3/" TargetMode="External"/><Relationship Id="rId17" Type="http://schemas.openxmlformats.org/officeDocument/2006/relationships/hyperlink" Target="http://blogs.worldbank.org/governance/sdgs-indicators-rule-law-need-respect-targets-agreed-september" TargetMode="External"/><Relationship Id="rId2" Type="http://schemas.microsoft.com/office/2007/relationships/stylesWithEffects" Target="stylesWithEffects.xml"/><Relationship Id="rId16" Type="http://schemas.openxmlformats.org/officeDocument/2006/relationships/hyperlink" Target="http://unstats.un.org/sdgs/iaeg-sdgs/open-consultation-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nstats.un.org/sdgs/iaeg-sdgs/open-consultation-3/" TargetMode="External"/><Relationship Id="rId5" Type="http://schemas.openxmlformats.org/officeDocument/2006/relationships/footnotes" Target="footnotes.xml"/><Relationship Id="rId15" Type="http://schemas.openxmlformats.org/officeDocument/2006/relationships/hyperlink" Target="http://worldjusticeproject.org/rule-of-law-index" TargetMode="External"/><Relationship Id="rId10" Type="http://schemas.openxmlformats.org/officeDocument/2006/relationships/hyperlink" Target="http://uk.reuters.com/article/development-goals-finance-idUKL5N11V3PB201509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stats.un.org/sdgs/files/ga-briefing-28-Jan-2016/PGA-Briefing--Status-of-IAEG-SDGs-work-on-global-SDG-indicators-28-Jan-2016.pdf" TargetMode="External"/><Relationship Id="rId14" Type="http://schemas.openxmlformats.org/officeDocument/2006/relationships/hyperlink" Target="http://unstats.un.org/sdgs/iaeg-sdgs/open-consulta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1D8ECB36</Template>
  <TotalTime>139</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Hansen</dc:creator>
  <cp:lastModifiedBy>Tim Hansen</cp:lastModifiedBy>
  <cp:revision>10</cp:revision>
  <dcterms:created xsi:type="dcterms:W3CDTF">2016-03-03T10:51:00Z</dcterms:created>
  <dcterms:modified xsi:type="dcterms:W3CDTF">2016-03-03T15:16:00Z</dcterms:modified>
</cp:coreProperties>
</file>