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0D" w:rsidRDefault="009E540D" w:rsidP="009E540D">
      <w:pPr>
        <w:pStyle w:val="ListParagraph"/>
        <w:spacing w:after="0"/>
        <w:ind w:left="0"/>
        <w:jc w:val="both"/>
        <w:outlineLvl w:val="0"/>
        <w:rPr>
          <w:sz w:val="28"/>
          <w:szCs w:val="28"/>
          <w:lang w:val="en-US"/>
        </w:rPr>
      </w:pPr>
      <w:bookmarkStart w:id="0" w:name="_Toc378034592"/>
      <w:r>
        <w:rPr>
          <w:sz w:val="28"/>
          <w:szCs w:val="28"/>
          <w:lang w:val="en-US"/>
        </w:rPr>
        <w:t>A</w:t>
      </w:r>
      <w:r w:rsidRPr="007A697A">
        <w:rPr>
          <w:sz w:val="28"/>
          <w:szCs w:val="28"/>
          <w:lang w:val="en-US"/>
        </w:rPr>
        <w:t>nnex 1 – Projects per Country</w:t>
      </w:r>
      <w:bookmarkEnd w:id="0"/>
    </w:p>
    <w:p w:rsidR="009E540D" w:rsidRDefault="009E540D" w:rsidP="009E540D">
      <w:pPr>
        <w:pStyle w:val="ListParagraph"/>
        <w:spacing w:after="0"/>
        <w:ind w:left="0"/>
        <w:jc w:val="both"/>
        <w:outlineLvl w:val="0"/>
        <w:rPr>
          <w:sz w:val="28"/>
          <w:szCs w:val="28"/>
          <w:lang w:val="en-US"/>
        </w:rPr>
      </w:pPr>
    </w:p>
    <w:p w:rsidR="009E540D" w:rsidRDefault="009E540D" w:rsidP="009E540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0"/>
        <w:gridCol w:w="2218"/>
        <w:gridCol w:w="2345"/>
        <w:gridCol w:w="2239"/>
        <w:gridCol w:w="2611"/>
      </w:tblGrid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</w:tcPr>
          <w:p w:rsidR="009E540D" w:rsidRPr="006A766B" w:rsidRDefault="009E540D" w:rsidP="00D331E0">
            <w:pPr>
              <w:pStyle w:val="ListParagraph"/>
              <w:ind w:left="0"/>
              <w:jc w:val="both"/>
              <w:rPr>
                <w:b/>
                <w:lang w:val="en-US"/>
              </w:rPr>
            </w:pPr>
            <w:r w:rsidRPr="006A766B">
              <w:rPr>
                <w:b/>
                <w:lang w:val="en-US"/>
              </w:rPr>
              <w:lastRenderedPageBreak/>
              <w:t>SOUTH SUDAN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AWEPA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Legitimate and democratic governance as a foundation for human security in South Sudan: capacity building program for the Local Councils of Western and Central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Equatoria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States and the National Legislative Assembly of South Sudan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South Sudan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National level and the States of Western and Central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Equatoria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CARE Nederland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Peace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Under Construction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South Sudan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Burundi: Provinces of Bujumbura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Mairie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Bujumbura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Rurale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Kirundo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; South Sudan: States of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Jonglei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Upper Nile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The Hague Academy for Local Governance; La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Benevolencija</w:t>
            </w:r>
            <w:proofErr w:type="spellEnd"/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Burundi: FORSC,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Mi-Parec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, JJB, and  CFP; South Sudan: CHORM, UNYDA, YARDSS and  NOAH</w:t>
            </w:r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Centre for Conflict Resolution (CCR), Cape Town, South Africa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Building Peace and Promoting Human Security in Post-Conflict Societies: South Sudan and the Great Lakes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South Sudan , Burundi , DRC , Rwanda , Uganda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Oxfam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Novib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South Sudan Peace and Prosperity Promotion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Programme</w:t>
            </w:r>
            <w:proofErr w:type="spellEnd"/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South Sudan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Warrap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State, Upper Nile State and Central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Equatoria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State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ACORD,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Intermon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Oxfam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Oxfam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GB, SOS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Sahel</w:t>
            </w:r>
            <w:proofErr w:type="spellEnd"/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NRDC (for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malakal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Saferworld</w:t>
            </w:r>
            <w:proofErr w:type="spellEnd"/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Improving the conditions for reconstruction and development in South Sudan, Yemen and Bangladesh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South Sudan, Yemen, Bangladesh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South Sudan: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Warrap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State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Kuajok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); Western Bahr El Ghazal State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Wau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)Bangladesh: 5 districts, South-Western Region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Faridpur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Gopalganj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Bagerhat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Jessore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Satkhira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)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Yemen: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Ta’iz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Governorate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South Sudan: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Kuac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Area Development Agency (KUADA);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for Children Harmony (TOCH)Bangladesh: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BRACYemen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: National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for Development of Society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(NODS)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 xml:space="preserve">Save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Children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NL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Empowerment of Youth for economic development and peace building in South Sudan and Uganda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Uganda, South Sudan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Acholi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Region Uganda and Lakes State South Sudan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South Sudan: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For the TVET component of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programme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SCiSS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works in collaboration with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Diar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for Rehabilitation and Development (DRDA).Save the Children is further more a party in the working group for justice for Children in order to reach relevant stakeholders.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Uganda: 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For the TVET component of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programme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SCIUG works in collaboration with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Acholi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Education Initiative (AEI)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SOMO - Centre for research on Multinational Corporations </w:t>
            </w:r>
            <w:r w:rsidR="00AF743B">
              <w:fldChar w:fldCharType="begin"/>
            </w:r>
            <w:r w:rsidR="00AF743B" w:rsidRPr="00751B77">
              <w:rPr>
                <w:lang w:val="en-US"/>
              </w:rPr>
              <w:instrText xml:space="preserve"> HYPERLINK "http:/</w:instrText>
            </w:r>
            <w:r w:rsidR="00AF743B" w:rsidRPr="00751B77">
              <w:rPr>
                <w:lang w:val="en-US"/>
              </w:rPr>
              <w:instrText xml:space="preserve">/www.somo.nl" </w:instrText>
            </w:r>
            <w:r w:rsidR="00AF743B">
              <w:fldChar w:fldCharType="separate"/>
            </w:r>
            <w:r w:rsidRPr="00320F26"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val="en-US" w:eastAsia="nl-NL"/>
              </w:rPr>
              <w:t>www.somo.nl</w:t>
            </w:r>
            <w:r w:rsidR="00AF743B">
              <w:rPr>
                <w:rStyle w:val="Hyperlink"/>
                <w:rFonts w:ascii="Calibri" w:eastAsia="Times New Roman" w:hAnsi="Calibri" w:cs="Times New Roman"/>
                <w:sz w:val="20"/>
                <w:szCs w:val="20"/>
                <w:lang w:val="en-US" w:eastAsia="nl-NL"/>
              </w:rPr>
              <w:fldChar w:fldCharType="end"/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Full information received and merged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South Sudan, DRC , Liberia , Sierra Leone , Colombia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None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South Sudan Law Society (South-Sudan), Pole Institute (DRC), Green Advocates (Liberia), MADAM (Sierra Leone), partner in Colombia to be confirmed</w:t>
            </w:r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SPARK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Agri-Business Creation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Programme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(ABC)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South Sudan , Yemen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Burundi: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Cibitoke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Bubanza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Bujumbura Rural; South Sudan : Central, East and West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Equatoria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) Yemen: Urban areas Sanaa,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Taiz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Ibb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, Aden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TBD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VNG International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Interlinking Peace Building,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Decentralisation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Development 2013-2017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South Sudan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Greater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Malakal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(Upper Nile State), Greater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Torit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(Eastern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Equatoria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State) and Greater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Wau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(Western Bahr el Ghazal State)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Cordaid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IKV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Pax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Christi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Local Government Board and a series of local partners from IKV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Pax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Christi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Cordaid</w:t>
            </w:r>
            <w:proofErr w:type="spellEnd"/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ZOA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Hope and Recovery on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the Ethiopia – South Sudan border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South Sudan , Ethiopia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Jonglei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State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Gambella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Province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NA; expertise from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CORD UK brought in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Across, NHDF, SALT, CMA,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local governments,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ZOA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Semi-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Pastoralist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Conflict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Mitigation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Programme</w:t>
            </w:r>
            <w:proofErr w:type="spellEnd"/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South Sudan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Central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Equatoria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state: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Terekeka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Jonglei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state: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Bor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counties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IAS (International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Aid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Sweden)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Compass, TAYA, local government, local water department</w:t>
            </w:r>
          </w:p>
        </w:tc>
      </w:tr>
      <w:tr w:rsidR="009E540D" w:rsidRPr="00751B77" w:rsidTr="00D331E0">
        <w:tc>
          <w:tcPr>
            <w:tcW w:w="2547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60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18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345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39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611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BURUNDI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CARE Nederland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Peace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Under Construction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South Sudan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Burundi: Provinces of Bujumbura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Mairie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Bujumbura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Rurale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Kirundo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; South Sudan: States of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Jonglei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Upper Nile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The Hague Academy for Local Governance; La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Benevolencija</w:t>
            </w:r>
            <w:proofErr w:type="spellEnd"/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Burundi: FORSC,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Mi-Parec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, JJB, and  CFP; South Sudan: CHORM, UNYDA, YARDSS and  NOAH</w:t>
            </w:r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Centre for Conflict Resolution (CCR), Cape Town, South Africa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Building Peace and Promoting Human Security in Post-Conflict Societies: South Sudan and the Great Lakes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South Sudan , Burundi , DRC , Rwanda , Uganda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Cordaid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Restoring the Contract; Increasing human security through state legitimacy and civil participation in Burundi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DRCongo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.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DRC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Country: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DRCongo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Province: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Sud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Kivu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Territories: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Shabunda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Walungu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Idwji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Kalehe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>Country: Burundi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Provinces: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Bubanza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Cibitoke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VNG International U.A.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Center for International Legal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Cooperats</w:t>
            </w:r>
            <w:proofErr w:type="spellEnd"/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nl-NL"/>
              </w:rPr>
              <w:t xml:space="preserve">Agence d’Achat Sud Kivu (AAP Sud-Kivu) www.aap-rdcongo.org in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nl-NL"/>
              </w:rPr>
              <w:t>DRCongo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nl-NL"/>
              </w:rPr>
              <w:br/>
              <w:t>Association de Développement pour l’Intérêt Social (ADIS) in Burundi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nl-NL"/>
              </w:rPr>
              <w:br/>
              <w:t>Association Burundaise des Elus Locaux (ABELO)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GPPAC (Global Partnership for the Prevention of Armed Conflict)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Consolidating Peacebuilding in the Great Lakes Region of Africa: A Regional Approach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Rwanda , DRC , Uganda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ACCORD (The Africa Centre for the Constructive Resolution of Disputes) NPI-Africa (Nairobi Peace Initiative-Africa)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Oxfam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Novib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Beyond borders: A roadmap to peace for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the Great Lakes region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Burundi , Rwanda , DRC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The provinces of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Cibitoke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Bujumbura Marie,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Bujumbura Rural,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Bubanza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(Burundi):  the provinces of North and South Kivu (DRC), and; the Western province (bordering DRC), Northern province (bordering DRC and Uganda), and the Southern province of Rwanda (bordering Burundi)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See below under local partners. Most of them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are local branches of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int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organisations</w:t>
            </w:r>
            <w:proofErr w:type="spellEnd"/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Radio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Benevolencija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Rwanda, Burundi and DRC; ACORD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Rwanda and Burundi; Impunity Watch; OAP;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Duhamic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; IRIBA; Pole Institute; OSB; Life and Peace Institute</w:t>
            </w:r>
          </w:p>
        </w:tc>
      </w:tr>
      <w:tr w:rsidR="009E540D" w:rsidRPr="006A766B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 xml:space="preserve">Search for Common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Ground</w:t>
            </w:r>
            <w:proofErr w:type="spellEnd"/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Strengthening Citizen Participation on Critical Social Issues to Prevent Conflict: Palestinian Territories and the Great Lakes Region of Africa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Burundi , DRC , Rwanda 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Palestinian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Territories</w:t>
            </w:r>
            <w:proofErr w:type="spellEnd"/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All national except DRC, which focuses on South Kivu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NA? [ML]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Ma'an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Network,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additional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partners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Government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land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regulation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bodies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(Rwanda Natural Resources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Authority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Commission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Nationale de Terre et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Autres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Biens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in Burundi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Ministere des Affaires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Foncieres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in DRC), traditional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mediation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bodies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Abunzi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Secretariat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Institution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des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Bashingantahe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)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Innovation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et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Formation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pour la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Paix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et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le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Developpement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, plus 16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radio stations</w:t>
            </w:r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SPARK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Agri-Business Creation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Programme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(ABC)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South Sudan , Yemen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Burundi: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Cibitoke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Bubanza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Bujumbura Rural; South Sudan : Central, East and West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Equatoria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) Yemen: Urban areas Sanaa,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Taiz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Ibb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, Aden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TBD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ZOA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Promoting Human Security in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Ruzizi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Valley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DRC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Ruzizi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Valley (both sides of connecting border):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Cibitoke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(Burundi) and South Kivu (DRC)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CEPAC-BDR,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MiParec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Consedi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(TBC), local governments</w:t>
            </w:r>
          </w:p>
        </w:tc>
      </w:tr>
      <w:tr w:rsidR="009E540D" w:rsidRPr="00751B77" w:rsidTr="00D331E0">
        <w:tc>
          <w:tcPr>
            <w:tcW w:w="2547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60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18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345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39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611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DRC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Centre for Conflict Resolution (CCR), Cape Town, South Africa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Building Peace and Promoting Human Security in Post-Conflict Societies: South Sudan and the Great Lakes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South Sudan , Burundi , DRC , Rwanda , Uganda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Cordaid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Restoring the Contract; Increasing human security through state legitimacy and civil participation in Burundi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DRCongo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.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DRC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Country: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DRCongo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Province: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Sud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Kivu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Territories: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Shabunda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Walungu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Idwji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Kalehe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>Country: Burundi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Provinces: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Bubanza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Cibitoke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VNG International U.A.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Center for International Legal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Cooperats</w:t>
            </w:r>
            <w:proofErr w:type="spellEnd"/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nl-NL"/>
              </w:rPr>
              <w:t xml:space="preserve">Agence d’Achat Sud Kivu (AAP Sud-Kivu) www.aap-rdcongo.org in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nl-NL"/>
              </w:rPr>
              <w:t>DRCongo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nl-NL"/>
              </w:rPr>
              <w:br/>
              <w:t>Association de Développement pour l’Intérêt Social (ADIS) in Burundi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nl-NL"/>
              </w:rPr>
              <w:br/>
              <w:t>Association Burundaise des Elus Locaux (ABELO)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GPPAC (Global Partnership for the Prevention of Armed Conflict)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Consolidating Peacebuilding in the Great Lakes Region of Africa: A Regional Approach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Rwanda , DRC , Uganda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ACCORD (The Africa Centre for the Constructive Resolution of Disputes) NPI-Africa (Nairobi Peace Initiative-Africa)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Oxfam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Novib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Beyond borders: A roadmap to peace for the Great Lakes region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Rwanda , DRC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The provinces of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Cibitoke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Bujumbura Marie, Bujumbura Rural,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Bubanza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(Burundi):  the provinces of North and South Kivu (DRC), and; the Western province (bordering DRC), Northern province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(bordering DRC and Uganda), and the Southern province of Rwanda (bordering Burundi)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See below under local partners. Most of them are local branches of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int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organisations</w:t>
            </w:r>
            <w:proofErr w:type="spellEnd"/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Radio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Benevolencija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Rwanda, Burundi and DRC; ACORD Rwanda and Burundi; Impunity Watch; OAP;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Duhamic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; IRIBA; Pole Institute; OSB; Life and Peace Institute</w:t>
            </w:r>
          </w:p>
        </w:tc>
      </w:tr>
      <w:tr w:rsidR="009E540D" w:rsidRPr="006A766B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 xml:space="preserve">Search for Common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Ground</w:t>
            </w:r>
            <w:proofErr w:type="spellEnd"/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Strengthening Citizen Participation on Critical Social Issues to Prevent Conflict: Palestinian Territories and the Great Lakes Region of Africa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Burundi , DRC , Rwanda 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Palestinian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Territories</w:t>
            </w:r>
            <w:proofErr w:type="spellEnd"/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All national except DRC, which focuses on South Kivu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NA? [ML]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Ma'an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Network,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with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additional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partners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Government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land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regulation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bodies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(Rwanda Natural Resources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Authority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Commission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Nationale de Terre et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Autres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Biens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in Burundi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Ministere des Affaires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Foncieres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in DRC), traditional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mediation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bodies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Abunzi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Secretariat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Institution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des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Bashingantahe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)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Innovation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et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Formation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pour la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Paix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et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le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Developpement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, plus 16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radio stations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SOMO - Centre for research on Multinational Corporations www.somo.nl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Full information received and merged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South Sudan , DRC , Liberia , Sierra Leone , Colombia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None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South Sudan Law Society (South-Sudan), Pole Institute (DRC), Green Advocates (Liberia), MADAM (Sierra Leone), partner in Colombia to be confirmed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ZOA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Promoting Human Security in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Ruzizi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Valley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DRC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Ruzizi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Valley (both sides of connecting border):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Cibitoke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(Burundi) and South Kivu (DRC)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CEPAC-BDR,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MiParec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Consedi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(TBC), local governments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UGANDA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Centre for Conflict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Resolution (CCR), Cape Town, South Africa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Building Peace and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Promoting Human Security in Post-Conflict Societies: South Sudan and the Great Lakes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South Sudan , Burundi ,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DRC , Rwanda , Uganda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GPPAC (Global Partnership for the Prevention of Armed Conflict)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Consolidating Peacebuilding in the Great Lakes Region of Africa: A Regional Approach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Rwanda , DRC , Uganda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ACCORD (The Africa Centre for the Constructive Resolution of Disputes) NPI-Africa (Nairobi Peace Initiative-Africa)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Save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Children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NL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Empowerment of Youth for economic development and peace building in South Sudan and Uganda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Uganda , South Sudan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Acholi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Region Uganda and Lakes State South Sudan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South Sudan: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For the TVET component of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programme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SCiSS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works in collaboration with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Diar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for Rehabilitation and Development (DRDA).Save the Children is further more a party in the working group for justice for Children in order to reach relevant stakeholders.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Uganda: 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For the TVET component of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programme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SCIUG works in collaboration with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Acholi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Education Initiative (AEI)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ZOA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Land and Water for Human Security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Afghanistan , Uganda , Sudan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Saripul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Jazwjan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/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Karamoja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/North Darfur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SDO (Afghanistan) / POZIDEP, AMREACH. (Uganda) / North Darfur Voluntary Network for Rural Development (Sudan)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AFGHANISTAN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CARE Nederland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Foundation for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Peace</w:t>
            </w:r>
            <w:proofErr w:type="spellEnd"/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Afghanistan , Somalia , Yemen.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Afghanistan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Balkh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, Kabul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Nangarhar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), Somalia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Sool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Sanaag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)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Yemen (Aden,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Sana’a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Taiz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Afghanistan Partners: AWWD, WCLRF; Somalia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Partners: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Nagaad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Women Network, Wawa women Umbrella, Candlelight, Environmental organization, HAVAYOKO livelihoods organization; Yemen Partners: YLDF, YWU.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 xml:space="preserve">Save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Children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NL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Increased basic service delivery and socioeconomic empowerment of women and youth in Afghanistan &amp; Pakistan, a future for the next generation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Afghanistan , Pakistan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Nangarhar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Saripul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in Afghanistan,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Khyber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Pakhtunkhwa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in Pakistan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Not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applicable</w:t>
            </w:r>
            <w:proofErr w:type="spellEnd"/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In Afghanistan we are not working with local partners. In Pakistan there is a possibility that we might work with some local partners.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ZOA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Land and Water for Human Security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Afghanistan , Uganda , Sudan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Saripul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Jazwjan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/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Karamoja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/North Darfur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SDO (Afghanistan) / POZIDEP, AMREACH. (Uganda) / North Darfur Voluntary Network for Rural Development (Sudan)</w:t>
            </w:r>
          </w:p>
        </w:tc>
      </w:tr>
      <w:tr w:rsidR="009E540D" w:rsidRPr="00751B77" w:rsidTr="00D331E0">
        <w:tc>
          <w:tcPr>
            <w:tcW w:w="2547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60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18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345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39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611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COLOMBIA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Netherlands Institute of Multiparty Democracy (NIMD)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Linking Political and Civil Society. Joint Efforts for Human Security.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Guatemala , El Salvador , Colombia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Colombia: Santander, Antioquia. El Salvador: Western region plus an area yet to be defined. Guatemala: Jutiapa in Eastern region plus area yet to be defined.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Cordaid.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Colombia: UNDP. Several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Cordaid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partners. El Salvador: several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Cordaid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partners.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Guatemala: NIMD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regional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office, plus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several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Cordaid partners.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SOMO - Centre for research on Multinational Corporations www.somo.nl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Full information received and merged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South Sudan , DRC , Liberia , Sierra Leone , Colombia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determined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None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South Sudan Law Society (South-Sudan), Pole Institute (DRC), Green Advocates (Liberia), MADAM (Sierra Leone), partner in Colombia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to be confirmed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Stichting Interkerkelijke Organisatie voor Ontwikkelingssamenwerking ICCO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Building protection by empowering people in Latin America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Colombia , El Salvador , Guatemala , Honduras , Nicaragua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Colombia:    Municipalities Bogotá,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Soacha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Ibagué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El Salvador: Municipality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Suchitoto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(Department of Cuscatlán)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Guatemala:  Municipalities Las Flores and San Andres (both in Department Petén), Quetzaltenango,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Totonicapan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, San Marcos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Honduras:    Municipalities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Lepaera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Campa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(both Department of Lempira)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Nicaragua:    Municipality Ciudad Sandino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When working in a consortium, please list all key international project partners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Colombia:   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Pequeño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Trabajador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(FTP),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Menonita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Colombiana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para el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Desarrollo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Mencoldes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) and Project          Counseling Service (PCS)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El Salvador:  SACDEL, FESPAD and RAIS.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Guatemala:    ACOFOP, FUNDAP, SEDEM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Honduras:     OCDIH, CASM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Nicaragua:   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Dejame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Intentarlo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American University (UAM),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Ruben Dario para el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Desarrollo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(FUPADE)</w:t>
            </w: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GUATEMALA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Hivos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(Humanist Institute for Cooperation with Developing Countries)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Human Security and Justice in Central America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Guatemala , Honduras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Impunity Watch (based in Utrecht, Netherlands)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CALDH, ICJ,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Udefegua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AJD, CDM,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Ciprodeh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Plataforma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contra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Impunidad</w:t>
            </w:r>
            <w:proofErr w:type="spellEnd"/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Netherlands Institute of Multiparty Democracy (NIMD)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Linking Political and Civil Society. Joint Efforts for Human Security.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Guatemala , El Salvador , Colombia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Colombia: Santander, Antioquia. El Salvador: Western region plus an area yet to be defined. Guatemala: Jutiapa in Eastern region plus area yet to be defined.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Cordaid.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Colombia: UNDP. Several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Cordaid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partners. El Salvador: several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Cordaid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partners.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Guatemala: NIMD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regional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office, plus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several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Cordaid partners.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Stichting Interkerkelijke Organisatie voor Ontwikkelingssamenwerking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ICCO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Building protection by empowering people in Latin America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Colombia , El Salvador , Guatemala , Honduras , Nicaragua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Colombia:    Municipalities Bogotá,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Soacha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Ibagué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  El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Salvador: Municipality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Suchitoto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(Department of Cuscatlán)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  Guatemala:  Municipalities Las Flores and San Andres (both in Department Petén), Quetzaltenango,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Totonicapan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, San Marcos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  Honduras:    Municipalities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Lepaera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Campa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(both Department of Lempira)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  Nicaragua:    Municipality Ciudad Sandino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When working in a consortium, please list all key international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project partners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Colombia:   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Pequeño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Trabajador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(FTP),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Menonita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Colombiana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para el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Desarrollo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Mencoldes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) and Project          Counseling Service (PCS)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  El Salvador:  SACDEL, FESPAD and RAIS.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  Guatemala:    ACOFOP, FUNDAP, SEDEM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  Honduras:     OCDIH, CASM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 w:type="page"/>
              <w:t xml:space="preserve">  Nicaragua:   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Dejame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Intentarlo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American University (UAM),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Ruben Dario para el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Desarrollo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(FUPADE)</w:t>
            </w:r>
          </w:p>
        </w:tc>
      </w:tr>
      <w:tr w:rsidR="009E540D" w:rsidRPr="00751B77" w:rsidTr="00D331E0">
        <w:tc>
          <w:tcPr>
            <w:tcW w:w="2547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60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18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345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39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611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YEMEN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CARE Nederland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Foundation for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Peace</w:t>
            </w:r>
            <w:proofErr w:type="spellEnd"/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Afghanistan , Somalia , Yemen.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Afghanistan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Balkh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, Kabul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Nangarhar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), Somalia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Sool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Sanaag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)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Yemen (Aden,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Sana’a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Taiz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Afghanistan Partners: AWWD, WCLRF; Somalia Partners: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Nagaad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Women Network, Wawa women Umbrella, Candlelight, Environmental organization, HAVAYOKO livelihoods organization; Yemen Partners: YLDF, YWU.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Saferworld</w:t>
            </w:r>
            <w:proofErr w:type="spellEnd"/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Improving the conditions for reconstruction and development in South Sudan, Yemen and Bangladesh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South Sudan , Yemen , Bangladesh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South Sudan: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Warrap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State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Kuajok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); Western Bahr El Ghazal State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Wau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)Bangladesh: 5 districts, South-Western Region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Faridpur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Gopalganj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Bagerhat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Jessore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Satkhira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) Yemen: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Ta’iz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Governorate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South Sudan: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Kuac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Area Development Agency (KUADA);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for Children Harmony (TOCH)Bangladesh: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BRACYemen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: National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for Development of Society (NODS)</w:t>
            </w:r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SPARK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Agri-Business Creation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Programme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(ABC)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Burundi , South Sudan , Yemen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Burundi: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Cibitoke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Bubanza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Bujumbura Rural; South Sudan : Central, East and West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Equatoria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) Yemen: Urban areas Sanaa,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Taiz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Ibb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, Aden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TBD</w:t>
            </w:r>
          </w:p>
        </w:tc>
      </w:tr>
      <w:tr w:rsidR="009E540D" w:rsidTr="00D331E0">
        <w:tc>
          <w:tcPr>
            <w:tcW w:w="2547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18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45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9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11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ETHIOPIA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Oxfam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GB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Human Security for Vulnerable communities in the Border Areas of Ethiopia and Somaliland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Ethiopia , Somalia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Somaliland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region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Ethiopia: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Harshin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Awbare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Kebribeyeh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Gashamo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Daror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Jijiga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Districts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Somaliland: The Project Targets 10 communities Namely 1.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Yucub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yaboh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2.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Dhagax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Dheer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3.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Sibidhley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4.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Gudubi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5. Bender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Aman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6.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Wado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Makahil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7.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Laaye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8.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Heeryo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9.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Gumburaha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10. Bali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Cabane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SCI,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IRC,Mercy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corps, UNICEF and UNOCHA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OWDA,CDSA,HAVOYOCO, SAAD,SOLPAF,HIRDA,CANDLE LIGHT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ZOA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Hope and Recovery on the Ethiopia – South Sudan border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South Sudan , Ethiopia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Jonglei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State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Gambella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Province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NA; expertise from CORD UK brought in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Across, NHDF, SALT, CMA, local governments,</w:t>
            </w:r>
          </w:p>
        </w:tc>
      </w:tr>
      <w:tr w:rsidR="009E540D" w:rsidRPr="00751B77" w:rsidTr="00D331E0">
        <w:tc>
          <w:tcPr>
            <w:tcW w:w="2547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60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18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345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39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611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HONDURAS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Hivos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(Humanist Institute for Cooperation with Developing Countries)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Human Security and Justice in Central America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Guatemala , Honduras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Impunity Watch (based in Utrecht, Netherlands)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CALDH, ICJ,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Udefegua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AJD, CDM,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Ciprodeh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Plataforma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contra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Impunidad</w:t>
            </w:r>
            <w:proofErr w:type="spellEnd"/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Stichting Interkerkelijke Organisatie voor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Ontwikkelingssamenwerking ICCO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Building protection by empowering people in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Latin America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 xml:space="preserve">Colombia , El Salvador , Guatemala , Honduras ,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>Nicaragua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Colombia:    Municipalities Bogotá,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Soacha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Ibagué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El Salvador: Municipality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Suchitoto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(Department of Cuscatlán)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Guatemala:  Municipalities Las Flores and San Andres (both in Department Petén), Quetzaltenango,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Totonicapan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, San Marcos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Honduras:    Municipalities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Lepaera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Campa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(both Department of Lempira)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Nicaragua:    Municipality Ciudad Sandino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When working in a consortium, please list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all key international project partners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Colombia:   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Pequeño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Trabajador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(FTP),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Menonita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Colombiana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para el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Desarrollo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Mencoldes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) and Project          Counseling Service (PCS)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El Salvador:  SACDEL, FESPAD and RAIS.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Guatemala:    ACOFOP, FUNDAP, SEDEM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Honduras:     OCDIH, CASM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Nicaragua:   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Dejame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Intentarlo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American University (UAM),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Ruben Dario para el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Desarrollo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(FUPADE)</w:t>
            </w:r>
          </w:p>
        </w:tc>
      </w:tr>
      <w:tr w:rsidR="009E540D" w:rsidRPr="00751B77" w:rsidTr="00D331E0">
        <w:tc>
          <w:tcPr>
            <w:tcW w:w="2547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60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18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345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39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611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EL SALVADOR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Netherlands Institute of Multiparty Democracy (NIMD)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Linking Political and Civil Society. Joint Efforts for Human Security.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Guatemala , El Salvador , Colombia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Colombia: Santander, Antioquia. El Salvador: Western region plus an area yet to be defined. Guatemala: Jutiapa in Eastern region plus area yet to be defined.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Cordaid.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Colombia: UNDP. Several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Cordaid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partners. El Salvador: several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Cordaid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partners.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Guatemala: NIMD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regional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office, plus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several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Cordaid partners.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Stichting Interkerkelijke Organisatie voor Ontwikkelingssamenwerking ICCO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Building protection by empowering people in Latin America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Colombia , El Salvador , Guatemala , Honduras , Nicaragua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Colombia:    Municipalities Bogotá,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Soacha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Ibagué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El Salvador: Municipality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Suchitoto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(Department of Cuscatlán)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Guatemala:  Municipalities Las Flores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and San Andres (both in Department Petén), Quetzaltenango,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Totonicapan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, San Marcos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Honduras:    Municipalities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Lepaera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Campa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(both Department of Lempira)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Nicaragua:    Municipality Ciudad Sandino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>When working in a consortium, please list all key international project partners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Colombia:   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Pequeño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Trabajador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(FTP),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Menonita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Colombiana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para el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Desarrollo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Mencoldes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) and Project          Counseling Service (PCS)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El Salvador:  SACDEL,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FESPAD and RAIS.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Guatemala:    ACOFOP, FUNDAP, SEDEM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Honduras:     OCDIH, CASM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  Nicaragua:   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Dejame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Intentarlo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American University (UAM),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Fundación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Ruben Dario para el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Desarrollo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(FUPADE)</w:t>
            </w:r>
          </w:p>
        </w:tc>
      </w:tr>
      <w:tr w:rsidR="009E540D" w:rsidRPr="00751B77" w:rsidTr="00D331E0">
        <w:tc>
          <w:tcPr>
            <w:tcW w:w="2547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60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18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345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39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611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SOMALIA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CARE Nederland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Foundation for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Peace</w:t>
            </w:r>
            <w:proofErr w:type="spellEnd"/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Afghanistan , Somalia , Yemen.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Afghanistan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Balkh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, Kabul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Nangarhar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), Somalia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Sool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Sanaag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)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and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Yemen (Aden,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Sana’a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Taiz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N/A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Afghanistan Partners: AWWD, WCLRF; Somalia Partners: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Nagaad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Women Network, Wawa women Umbrella, Candlelight, Environmental organization, HAVAYOKO livelihoods organization; Yemen Partners: YLDF, YWU.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Oxfam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GB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Human Security for Vulnerable communities in the Border Areas of Ethiopia and Somaliland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Ethiopia , Somalia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Somaliland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region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Ethiopia: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Harshin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Awbare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Kebribeyeh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Gashamo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Daror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and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Jijiga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Districts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Somaliland: The Project Targets 10 communities Namely 1.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Yucub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yaboh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2.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Dhagax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Dheer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3.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Sibidhley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4.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Gudubi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,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br/>
              <w:t xml:space="preserve">5. Bender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Aman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6.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Wado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Makahil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7.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Laaye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8.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Heeryo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9.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Gumburaha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10. </w:t>
            </w: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lastRenderedPageBreak/>
              <w:t xml:space="preserve">Bali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Cabane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lastRenderedPageBreak/>
              <w:t xml:space="preserve">SCI,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IRC,Mercy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corps, UNICEF and UNOCHA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OWDA,CDSA,HAVOYOCO, SAAD,SOLPAF,HIRDA,CANDLE LIGHT</w:t>
            </w:r>
          </w:p>
        </w:tc>
      </w:tr>
      <w:tr w:rsidR="009E540D" w:rsidRPr="00751B77" w:rsidTr="00D331E0">
        <w:tc>
          <w:tcPr>
            <w:tcW w:w="2547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60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18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345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239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611" w:type="dxa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</w:p>
        </w:tc>
      </w:tr>
      <w:tr w:rsidR="009E540D" w:rsidTr="00D331E0">
        <w:tc>
          <w:tcPr>
            <w:tcW w:w="14220" w:type="dxa"/>
            <w:gridSpan w:val="6"/>
            <w:shd w:val="clear" w:color="auto" w:fill="A6A6A6" w:themeFill="background1" w:themeFillShade="A6"/>
            <w:vAlign w:val="bottom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PAKISTAN</w:t>
            </w:r>
          </w:p>
        </w:tc>
      </w:tr>
      <w:tr w:rsidR="009E540D" w:rsidTr="00D331E0">
        <w:tc>
          <w:tcPr>
            <w:tcW w:w="2547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1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Organisation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(Lead)</w:t>
            </w:r>
          </w:p>
        </w:tc>
        <w:tc>
          <w:tcPr>
            <w:tcW w:w="2260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2 Project Name</w:t>
            </w:r>
          </w:p>
        </w:tc>
        <w:tc>
          <w:tcPr>
            <w:tcW w:w="2218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6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</w:p>
        </w:tc>
        <w:tc>
          <w:tcPr>
            <w:tcW w:w="2345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7 Target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Areas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within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countries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8 International Project Partners</w:t>
            </w:r>
          </w:p>
        </w:tc>
        <w:tc>
          <w:tcPr>
            <w:tcW w:w="2611" w:type="dxa"/>
            <w:shd w:val="clear" w:color="auto" w:fill="A6A6A6" w:themeFill="background1" w:themeFillShade="A6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9 </w:t>
            </w:r>
            <w:proofErr w:type="spellStart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>Local</w:t>
            </w:r>
            <w:proofErr w:type="spellEnd"/>
            <w:r w:rsidRPr="00166FC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l-NL"/>
              </w:rPr>
              <w:t xml:space="preserve"> Project Partners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Oxfam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Novib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Citizens First: Improving Human Security in Pakistan and Afghanistan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Pakistan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15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districts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in 3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provinces</w:t>
            </w:r>
            <w:proofErr w:type="spellEnd"/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SOMO</w:t>
            </w:r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South Asia Partnership Pakistan (SAP PK), Omar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Asghar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Khan Development Foundation,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Bhittai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Social Watch and Advocacy (BSWA), National Organization for Working Communities (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NOWCommunities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),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Sojhla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for Social Change (SOJHLA),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Cholistan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 xml:space="preserve"> Development Council (CDC) and Sustainable Development Society (SDS)</w:t>
            </w:r>
          </w:p>
        </w:tc>
      </w:tr>
      <w:tr w:rsidR="009E540D" w:rsidRPr="00751B77" w:rsidTr="00D331E0">
        <w:tc>
          <w:tcPr>
            <w:tcW w:w="2547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Save the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Children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NL</w:t>
            </w:r>
          </w:p>
        </w:tc>
        <w:tc>
          <w:tcPr>
            <w:tcW w:w="2260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Increased basic service delivery and socioeconomic empowerment of women and youth in Afghanistan &amp; Pakistan, a future for the next generation</w:t>
            </w:r>
          </w:p>
        </w:tc>
        <w:tc>
          <w:tcPr>
            <w:tcW w:w="2218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Afghanistan , Pakistan</w:t>
            </w:r>
          </w:p>
        </w:tc>
        <w:tc>
          <w:tcPr>
            <w:tcW w:w="2345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Nangarhar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&amp;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Saripul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in Afghanistan,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Khyber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Pakhtunkhwa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in Pakistan</w:t>
            </w:r>
          </w:p>
        </w:tc>
        <w:tc>
          <w:tcPr>
            <w:tcW w:w="2239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Not</w:t>
            </w:r>
            <w:proofErr w:type="spellEnd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applicable</w:t>
            </w:r>
            <w:proofErr w:type="spellEnd"/>
          </w:p>
        </w:tc>
        <w:tc>
          <w:tcPr>
            <w:tcW w:w="2611" w:type="dxa"/>
            <w:vAlign w:val="center"/>
          </w:tcPr>
          <w:p w:rsidR="009E540D" w:rsidRPr="00166FC2" w:rsidRDefault="009E540D" w:rsidP="00D331E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</w:pPr>
            <w:r w:rsidRPr="00166FC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NL"/>
              </w:rPr>
              <w:t>In Afghanistan we are not working with local partners. In Pakistan there is a possibility that we might work with some local partners.</w:t>
            </w:r>
          </w:p>
        </w:tc>
      </w:tr>
    </w:tbl>
    <w:p w:rsidR="00D426E7" w:rsidRPr="009E540D" w:rsidRDefault="00D426E7">
      <w:pPr>
        <w:rPr>
          <w:lang w:val="en-US"/>
        </w:rPr>
      </w:pPr>
    </w:p>
    <w:sectPr w:rsidR="00D426E7" w:rsidRPr="009E540D" w:rsidSect="00751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3B" w:rsidRDefault="00AF743B" w:rsidP="00751B77">
      <w:pPr>
        <w:spacing w:after="0" w:line="240" w:lineRule="auto"/>
      </w:pPr>
      <w:r>
        <w:separator/>
      </w:r>
    </w:p>
  </w:endnote>
  <w:endnote w:type="continuationSeparator" w:id="0">
    <w:p w:rsidR="00AF743B" w:rsidRDefault="00AF743B" w:rsidP="0075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77" w:rsidRDefault="00751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15746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:rsidR="00751B77" w:rsidRDefault="00751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51B77" w:rsidRDefault="00751B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77" w:rsidRDefault="00751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3B" w:rsidRDefault="00AF743B" w:rsidP="00751B77">
      <w:pPr>
        <w:spacing w:after="0" w:line="240" w:lineRule="auto"/>
      </w:pPr>
      <w:r>
        <w:separator/>
      </w:r>
    </w:p>
  </w:footnote>
  <w:footnote w:type="continuationSeparator" w:id="0">
    <w:p w:rsidR="00AF743B" w:rsidRDefault="00AF743B" w:rsidP="0075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77" w:rsidRDefault="00751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77" w:rsidRDefault="00751B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77" w:rsidRDefault="00751B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0D"/>
    <w:rsid w:val="00507D4A"/>
    <w:rsid w:val="0054189A"/>
    <w:rsid w:val="00751B77"/>
    <w:rsid w:val="009E540D"/>
    <w:rsid w:val="00AF743B"/>
    <w:rsid w:val="00D4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540D"/>
    <w:pPr>
      <w:ind w:left="720"/>
      <w:contextualSpacing/>
    </w:pPr>
  </w:style>
  <w:style w:type="table" w:styleId="TableGrid">
    <w:name w:val="Table Grid"/>
    <w:basedOn w:val="TableNormal"/>
    <w:rsid w:val="009E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54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77"/>
  </w:style>
  <w:style w:type="paragraph" w:styleId="Footer">
    <w:name w:val="footer"/>
    <w:basedOn w:val="Normal"/>
    <w:link w:val="FooterChar"/>
    <w:uiPriority w:val="99"/>
    <w:unhideWhenUsed/>
    <w:rsid w:val="0075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540D"/>
    <w:pPr>
      <w:ind w:left="720"/>
      <w:contextualSpacing/>
    </w:pPr>
  </w:style>
  <w:style w:type="table" w:styleId="TableGrid">
    <w:name w:val="Table Grid"/>
    <w:basedOn w:val="TableNormal"/>
    <w:rsid w:val="009E5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54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B77"/>
  </w:style>
  <w:style w:type="paragraph" w:styleId="Footer">
    <w:name w:val="footer"/>
    <w:basedOn w:val="Normal"/>
    <w:link w:val="FooterChar"/>
    <w:uiPriority w:val="99"/>
    <w:unhideWhenUsed/>
    <w:rsid w:val="0075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3680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mlankhorst</dc:creator>
  <cp:lastModifiedBy>mlankhorst</cp:lastModifiedBy>
  <cp:revision>2</cp:revision>
  <dcterms:created xsi:type="dcterms:W3CDTF">2014-01-24T14:09:00Z</dcterms:created>
  <dcterms:modified xsi:type="dcterms:W3CDTF">2014-01-24T15:43:00Z</dcterms:modified>
</cp:coreProperties>
</file>